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9B01B0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2F610E">
        <w:rPr>
          <w:b/>
          <w:sz w:val="24"/>
          <w:szCs w:val="24"/>
        </w:rPr>
        <w:t>.01.2021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22A97" w:rsidRDefault="00984397" w:rsidP="00984397">
      <w:pPr>
        <w:spacing w:after="0" w:line="240" w:lineRule="auto"/>
        <w:rPr>
          <w:b/>
          <w:sz w:val="16"/>
          <w:szCs w:val="16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F07E89">
        <w:rPr>
          <w:rFonts w:eastAsia="ScalaSansPro-Bold" w:cstheme="minorHAnsi"/>
          <w:b/>
          <w:bCs/>
          <w:i/>
          <w:sz w:val="24"/>
          <w:szCs w:val="24"/>
        </w:rPr>
        <w:t>Obsługa procesu składowania</w:t>
      </w:r>
    </w:p>
    <w:p w:rsidR="00984397" w:rsidRPr="00822A97" w:rsidRDefault="00984397" w:rsidP="00984397">
      <w:pPr>
        <w:spacing w:after="0" w:line="240" w:lineRule="auto"/>
        <w:jc w:val="both"/>
        <w:rPr>
          <w:b/>
          <w:sz w:val="16"/>
          <w:szCs w:val="16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22A97" w:rsidRDefault="00984397" w:rsidP="00984397">
      <w:pPr>
        <w:spacing w:after="0" w:line="240" w:lineRule="auto"/>
        <w:rPr>
          <w:b/>
          <w:i/>
          <w:sz w:val="16"/>
          <w:szCs w:val="16"/>
        </w:rPr>
      </w:pPr>
    </w:p>
    <w:p w:rsidR="00916F25" w:rsidRDefault="00CD053D" w:rsidP="00984397">
      <w:pPr>
        <w:spacing w:after="0" w:line="240" w:lineRule="auto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 xml:space="preserve">ości proszę kierować   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984397" w:rsidRPr="00822A97" w:rsidRDefault="00984397" w:rsidP="00984397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822A97" w:rsidRDefault="002F2496" w:rsidP="005A3A0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6"/>
          <w:szCs w:val="16"/>
        </w:rPr>
      </w:pPr>
    </w:p>
    <w:p w:rsidR="008C1AD7" w:rsidRDefault="00F07E89" w:rsidP="008C1A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07E89">
        <w:rPr>
          <w:rFonts w:cstheme="minorHAnsi"/>
          <w:color w:val="000000"/>
          <w:sz w:val="24"/>
          <w:szCs w:val="24"/>
        </w:rPr>
        <w:t>Rozmiar procesu składowania wpływa na zakres czynności, jakie są</w:t>
      </w:r>
      <w:r>
        <w:rPr>
          <w:rFonts w:cstheme="minorHAnsi"/>
          <w:color w:val="000000"/>
          <w:sz w:val="24"/>
          <w:szCs w:val="24"/>
        </w:rPr>
        <w:t xml:space="preserve"> wykonywane                              w </w:t>
      </w:r>
      <w:r w:rsidRPr="00F07E89">
        <w:rPr>
          <w:rFonts w:cstheme="minorHAnsi"/>
          <w:color w:val="000000"/>
          <w:sz w:val="24"/>
          <w:szCs w:val="24"/>
        </w:rPr>
        <w:t>magazynie.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>Pracownik, który odpowiada za ten proces, pilnuje, aby przebiegał on prawidłowo,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>podobnie jak przyjmowanie i wydawanie towaru ze strefy składowania. Prawidłowy przebieg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>procesu składowania musi obejmować kontrolę zgodności ze stanami magazynowymi.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>Proces ten realizują również inni pracownicy magazynu, np. wydawca, pakowacz,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>operator wózka jezdniowego napędzanego. Osoby te obsługują urzą</w:t>
      </w:r>
      <w:r>
        <w:rPr>
          <w:rFonts w:cstheme="minorHAnsi"/>
          <w:color w:val="000000"/>
          <w:sz w:val="24"/>
          <w:szCs w:val="24"/>
        </w:rPr>
        <w:t xml:space="preserve">dzenia </w:t>
      </w:r>
      <w:r w:rsidRPr="00F07E89">
        <w:rPr>
          <w:rFonts w:cstheme="minorHAnsi"/>
          <w:color w:val="000000"/>
          <w:sz w:val="24"/>
          <w:szCs w:val="24"/>
        </w:rPr>
        <w:t>wykorzystywane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 xml:space="preserve">w składowaniu. Należą do nich </w:t>
      </w:r>
      <w:proofErr w:type="spellStart"/>
      <w:r w:rsidRPr="00F07E89">
        <w:rPr>
          <w:rFonts w:eastAsia="ScalaSansPro-Bold" w:cstheme="minorHAnsi"/>
          <w:b/>
          <w:bCs/>
          <w:color w:val="00B050"/>
          <w:sz w:val="24"/>
          <w:szCs w:val="24"/>
        </w:rPr>
        <w:t>paletyzatory</w:t>
      </w:r>
      <w:proofErr w:type="spellEnd"/>
      <w:r w:rsidRPr="00F07E89">
        <w:rPr>
          <w:rFonts w:cstheme="minorHAnsi"/>
          <w:color w:val="000000"/>
          <w:sz w:val="24"/>
          <w:szCs w:val="24"/>
        </w:rPr>
        <w:t xml:space="preserve">, czyli – urządzenia służące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F07E89">
        <w:rPr>
          <w:rFonts w:cstheme="minorHAnsi"/>
          <w:color w:val="000000"/>
          <w:sz w:val="24"/>
          <w:szCs w:val="24"/>
        </w:rPr>
        <w:t>do formowania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>ładunków, przystosowane do pracy w</w:t>
      </w:r>
      <w:r w:rsidR="008C1AD7">
        <w:rPr>
          <w:rFonts w:cstheme="minorHAnsi"/>
          <w:color w:val="000000"/>
          <w:sz w:val="24"/>
          <w:szCs w:val="24"/>
        </w:rPr>
        <w:t xml:space="preserve"> cyklu automatycznym</w:t>
      </w:r>
      <w:r w:rsidRPr="00F07E89">
        <w:rPr>
          <w:rFonts w:cstheme="minorHAnsi"/>
          <w:color w:val="000000"/>
          <w:sz w:val="24"/>
          <w:szCs w:val="24"/>
        </w:rPr>
        <w:t>.</w:t>
      </w:r>
      <w:r w:rsidR="008C1AD7" w:rsidRPr="008C1AD7">
        <w:rPr>
          <w:rFonts w:cstheme="minorHAnsi"/>
          <w:color w:val="000000"/>
          <w:sz w:val="24"/>
          <w:szCs w:val="24"/>
        </w:rPr>
        <w:t xml:space="preserve"> Służą one </w:t>
      </w:r>
      <w:r w:rsidR="008C1AD7">
        <w:rPr>
          <w:rFonts w:cstheme="minorHAnsi"/>
          <w:color w:val="000000"/>
          <w:sz w:val="24"/>
          <w:szCs w:val="24"/>
        </w:rPr>
        <w:t xml:space="preserve">                  </w:t>
      </w:r>
      <w:r w:rsidR="008C1AD7" w:rsidRPr="008C1AD7">
        <w:rPr>
          <w:rFonts w:cstheme="minorHAnsi"/>
          <w:color w:val="000000"/>
          <w:sz w:val="24"/>
          <w:szCs w:val="24"/>
        </w:rPr>
        <w:t>do automatycznego układania warstw towarów. Urządzenia te dają</w:t>
      </w:r>
      <w:r w:rsidR="008C1AD7">
        <w:rPr>
          <w:rFonts w:cstheme="minorHAnsi"/>
          <w:color w:val="000000"/>
          <w:sz w:val="24"/>
          <w:szCs w:val="24"/>
        </w:rPr>
        <w:t xml:space="preserve"> </w:t>
      </w:r>
      <w:r w:rsidR="008C1AD7" w:rsidRPr="008C1AD7">
        <w:rPr>
          <w:rFonts w:cstheme="minorHAnsi"/>
          <w:color w:val="000000"/>
          <w:sz w:val="24"/>
          <w:szCs w:val="24"/>
        </w:rPr>
        <w:t xml:space="preserve">możliwość paletyzowania takich rodzajów opakowań, jak: </w:t>
      </w:r>
      <w:r w:rsidR="008C1AD7" w:rsidRPr="008C1AD7">
        <w:rPr>
          <w:rFonts w:eastAsia="ScalaSansPro-Bold" w:cstheme="minorHAnsi"/>
          <w:b/>
          <w:bCs/>
          <w:color w:val="EE1D24"/>
          <w:sz w:val="24"/>
          <w:szCs w:val="24"/>
        </w:rPr>
        <w:t>kartony</w:t>
      </w:r>
      <w:r w:rsidR="008C1AD7" w:rsidRPr="008C1AD7">
        <w:rPr>
          <w:rFonts w:cstheme="minorHAnsi"/>
          <w:color w:val="000000"/>
          <w:sz w:val="24"/>
          <w:szCs w:val="24"/>
        </w:rPr>
        <w:t xml:space="preserve">, </w:t>
      </w:r>
      <w:r w:rsidR="008C1AD7" w:rsidRPr="008C1AD7">
        <w:rPr>
          <w:rFonts w:eastAsia="ScalaSansPro-Bold" w:cstheme="minorHAnsi"/>
          <w:b/>
          <w:bCs/>
          <w:color w:val="EE1D24"/>
          <w:sz w:val="24"/>
          <w:szCs w:val="24"/>
        </w:rPr>
        <w:t>worki</w:t>
      </w:r>
      <w:r w:rsidR="008C1AD7" w:rsidRPr="008C1AD7">
        <w:rPr>
          <w:rFonts w:cstheme="minorHAnsi"/>
          <w:color w:val="000000"/>
          <w:sz w:val="24"/>
          <w:szCs w:val="24"/>
        </w:rPr>
        <w:t xml:space="preserve">, </w:t>
      </w:r>
      <w:r w:rsidR="008C1AD7" w:rsidRPr="008C1AD7">
        <w:rPr>
          <w:rFonts w:eastAsia="ScalaSansPro-Bold" w:cstheme="minorHAnsi"/>
          <w:b/>
          <w:bCs/>
          <w:color w:val="EE1D24"/>
          <w:sz w:val="24"/>
          <w:szCs w:val="24"/>
        </w:rPr>
        <w:t>zgrzewki</w:t>
      </w:r>
      <w:r w:rsidR="008C1AD7" w:rsidRPr="008C1AD7">
        <w:rPr>
          <w:rFonts w:cstheme="minorHAnsi"/>
          <w:color w:val="000000"/>
          <w:sz w:val="24"/>
          <w:szCs w:val="24"/>
        </w:rPr>
        <w:t>.</w:t>
      </w:r>
    </w:p>
    <w:p w:rsidR="008C1AD7" w:rsidRPr="008C1AD7" w:rsidRDefault="008C1AD7" w:rsidP="008C1A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233434" cy="4639586"/>
            <wp:effectExtent l="19050" t="0" r="531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86" cy="46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9" w:rsidRDefault="00F07E89" w:rsidP="00F07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07E89">
        <w:rPr>
          <w:rFonts w:cstheme="minorHAnsi"/>
          <w:color w:val="000000"/>
          <w:sz w:val="24"/>
          <w:szCs w:val="24"/>
        </w:rPr>
        <w:t xml:space="preserve"> Proces paletyzowania</w:t>
      </w:r>
      <w:r w:rsidR="008C1AD7">
        <w:rPr>
          <w:rFonts w:cstheme="minorHAnsi"/>
          <w:color w:val="000000"/>
          <w:sz w:val="24"/>
          <w:szCs w:val="24"/>
        </w:rPr>
        <w:t xml:space="preserve"> </w:t>
      </w:r>
      <w:r w:rsidRPr="00F07E89">
        <w:rPr>
          <w:rFonts w:cstheme="minorHAnsi"/>
          <w:color w:val="000000"/>
          <w:sz w:val="24"/>
          <w:szCs w:val="24"/>
        </w:rPr>
        <w:t>odbywa się w sposób następujący:</w:t>
      </w:r>
    </w:p>
    <w:p w:rsidR="00F07E89" w:rsidRDefault="00F07E89" w:rsidP="00F07E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opakowania kartonowe są dostarczane taśmociągiem do urządzenia formującego paletowe</w:t>
      </w:r>
      <w:r w:rsidR="008C1AD7"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jednostki ładunkowe;</w:t>
      </w:r>
    </w:p>
    <w:p w:rsidR="00F07E89" w:rsidRDefault="00F07E89" w:rsidP="00F07E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lastRenderedPageBreak/>
        <w:t>urządzenie pakuje ładunki w kartonowe opakowania zgodnie z systemem transportowym</w:t>
      </w:r>
      <w:r w:rsidR="008C1AD7"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odpowiadającym wymogom transportu na palecie;</w:t>
      </w:r>
    </w:p>
    <w:p w:rsidR="00F07E89" w:rsidRDefault="00F07E89" w:rsidP="00F07E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zapakowany towar jest transportowany do kolejnego urządzenia zabezpieczającego;</w:t>
      </w:r>
    </w:p>
    <w:p w:rsidR="00F07E89" w:rsidRDefault="00F07E89" w:rsidP="00F07E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urządzenie zabezpieczające obkurcza przygotowane wcześniej kartony, owijając je folią;</w:t>
      </w:r>
    </w:p>
    <w:p w:rsidR="002F2496" w:rsidRDefault="00F07E89" w:rsidP="00F07E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zabezpieczony towar jest przewożony do strefy składowania.</w:t>
      </w:r>
    </w:p>
    <w:p w:rsidR="008C1AD7" w:rsidRDefault="008C1AD7" w:rsidP="008C1A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C1AD7">
        <w:rPr>
          <w:rFonts w:cstheme="minorHAnsi"/>
          <w:color w:val="000000"/>
          <w:sz w:val="24"/>
          <w:szCs w:val="24"/>
        </w:rPr>
        <w:t>Paletyzator</w:t>
      </w:r>
      <w:proofErr w:type="spellEnd"/>
      <w:r w:rsidRPr="008C1AD7">
        <w:rPr>
          <w:rFonts w:cstheme="minorHAnsi"/>
          <w:color w:val="000000"/>
          <w:sz w:val="24"/>
          <w:szCs w:val="24"/>
        </w:rPr>
        <w:t xml:space="preserve"> jest sterowany automatycznie. Programuje się go zgodnie z rodzajem i wielkością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 xml:space="preserve">opakowania. Ze względu na dużą wydajność </w:t>
      </w:r>
      <w:proofErr w:type="spellStart"/>
      <w:r w:rsidRPr="008C1AD7">
        <w:rPr>
          <w:rFonts w:cstheme="minorHAnsi"/>
          <w:color w:val="000000"/>
          <w:sz w:val="24"/>
          <w:szCs w:val="24"/>
        </w:rPr>
        <w:t>paletyzatory</w:t>
      </w:r>
      <w:proofErr w:type="spellEnd"/>
      <w:r w:rsidRPr="008C1AD7">
        <w:rPr>
          <w:rFonts w:cstheme="minorHAnsi"/>
          <w:color w:val="000000"/>
          <w:sz w:val="24"/>
          <w:szCs w:val="24"/>
        </w:rPr>
        <w:t xml:space="preserve"> mogą współpracować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jednocześnie z kilkoma liniami produkcyjnymi. Umożliwiają ułożenie towarów w sposób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ułatwiający obrót jednostką paletową podczas transportu oraz zapewniający optymalne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wykorzystanie powierzchni palet. Współpracują też z innymi urządzeniami wchodzącymi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w skład linii produkcyjnej, takimi jak:</w:t>
      </w:r>
    </w:p>
    <w:p w:rsidR="008C1AD7" w:rsidRDefault="008C1AD7" w:rsidP="008C1AD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podajnik przekładek,</w:t>
      </w:r>
    </w:p>
    <w:p w:rsidR="008C1AD7" w:rsidRDefault="008C1AD7" w:rsidP="008C1AD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owijarki (wybór rodzaju lub programu owijania),</w:t>
      </w:r>
    </w:p>
    <w:p w:rsidR="008C1AD7" w:rsidRDefault="008C1AD7" w:rsidP="008C1AD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systemy zarządzania etykieciarkami (informacja o rodzaju, ilości towaru i rodzaju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palety),</w:t>
      </w:r>
    </w:p>
    <w:p w:rsidR="008C1AD7" w:rsidRDefault="008C1AD7" w:rsidP="008C1AD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 xml:space="preserve">systemy buforowania gotowych palet z towarem – w celu ułatwienia ich segregacji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8C1AD7">
        <w:rPr>
          <w:rFonts w:cstheme="minorHAnsi"/>
          <w:color w:val="000000"/>
          <w:sz w:val="24"/>
          <w:szCs w:val="24"/>
        </w:rPr>
        <w:t>i magazynowania.</w:t>
      </w:r>
    </w:p>
    <w:p w:rsidR="008C1AD7" w:rsidRDefault="008C1AD7" w:rsidP="008C1A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 xml:space="preserve">Zaletami </w:t>
      </w:r>
      <w:proofErr w:type="spellStart"/>
      <w:r w:rsidRPr="008C1AD7">
        <w:rPr>
          <w:rFonts w:cstheme="minorHAnsi"/>
          <w:color w:val="000000"/>
          <w:sz w:val="24"/>
          <w:szCs w:val="24"/>
        </w:rPr>
        <w:t>paletyzatora</w:t>
      </w:r>
      <w:proofErr w:type="spellEnd"/>
      <w:r w:rsidRPr="008C1AD7">
        <w:rPr>
          <w:rFonts w:cstheme="minorHAnsi"/>
          <w:color w:val="000000"/>
          <w:sz w:val="24"/>
          <w:szCs w:val="24"/>
        </w:rPr>
        <w:t xml:space="preserve"> są:</w:t>
      </w:r>
    </w:p>
    <w:p w:rsidR="008C1AD7" w:rsidRDefault="008C1AD7" w:rsidP="008C1AD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możliwość automatycznego przestawiania urządzenia pod paletyzowany towar lub pod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1AD7">
        <w:rPr>
          <w:rFonts w:cstheme="minorHAnsi"/>
          <w:color w:val="000000"/>
          <w:sz w:val="24"/>
          <w:szCs w:val="24"/>
        </w:rPr>
        <w:t>inny rodzaj palet,</w:t>
      </w:r>
    </w:p>
    <w:p w:rsidR="008C1AD7" w:rsidRDefault="008C1AD7" w:rsidP="008C1AD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 xml:space="preserve">możliwość współpracy </w:t>
      </w:r>
      <w:proofErr w:type="spellStart"/>
      <w:r w:rsidRPr="008C1AD7">
        <w:rPr>
          <w:rFonts w:cstheme="minorHAnsi"/>
          <w:color w:val="000000"/>
          <w:sz w:val="24"/>
          <w:szCs w:val="24"/>
        </w:rPr>
        <w:t>paletyzatora</w:t>
      </w:r>
      <w:proofErr w:type="spellEnd"/>
      <w:r w:rsidRPr="008C1AD7">
        <w:rPr>
          <w:rFonts w:cstheme="minorHAnsi"/>
          <w:color w:val="000000"/>
          <w:sz w:val="24"/>
          <w:szCs w:val="24"/>
        </w:rPr>
        <w:t xml:space="preserve"> z urządzeniami procesu produkcyjnego,</w:t>
      </w:r>
    </w:p>
    <w:p w:rsidR="008C1AD7" w:rsidRPr="008C1AD7" w:rsidRDefault="008C1AD7" w:rsidP="008C1AD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>możliwość obsługiwania urządzenia z pulpitu operatora.</w:t>
      </w:r>
    </w:p>
    <w:p w:rsidR="008C1AD7" w:rsidRDefault="008C1AD7" w:rsidP="008C1A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1AD7">
        <w:rPr>
          <w:rFonts w:cstheme="minorHAnsi"/>
          <w:color w:val="000000"/>
          <w:sz w:val="24"/>
          <w:szCs w:val="24"/>
        </w:rPr>
        <w:t xml:space="preserve">Wydajność </w:t>
      </w:r>
      <w:proofErr w:type="spellStart"/>
      <w:r w:rsidRPr="008C1AD7">
        <w:rPr>
          <w:rFonts w:cstheme="minorHAnsi"/>
          <w:color w:val="000000"/>
          <w:sz w:val="24"/>
          <w:szCs w:val="24"/>
        </w:rPr>
        <w:t>paletyzatorów</w:t>
      </w:r>
      <w:proofErr w:type="spellEnd"/>
      <w:r w:rsidRPr="008C1AD7">
        <w:rPr>
          <w:rFonts w:cstheme="minorHAnsi"/>
          <w:color w:val="000000"/>
          <w:sz w:val="24"/>
          <w:szCs w:val="24"/>
        </w:rPr>
        <w:t xml:space="preserve"> jest uzależniona od cyklu pracy. Wyróżnia się </w:t>
      </w:r>
      <w:proofErr w:type="spellStart"/>
      <w:r w:rsidRPr="008C1AD7">
        <w:rPr>
          <w:rFonts w:cstheme="minorHAnsi"/>
          <w:color w:val="000000"/>
          <w:sz w:val="24"/>
          <w:szCs w:val="24"/>
        </w:rPr>
        <w:t>paletyzatory</w:t>
      </w:r>
      <w:proofErr w:type="spellEnd"/>
      <w:r w:rsidRPr="008C1AD7">
        <w:rPr>
          <w:rFonts w:cstheme="minorHAnsi"/>
          <w:color w:val="000000"/>
          <w:sz w:val="24"/>
          <w:szCs w:val="24"/>
        </w:rPr>
        <w:t>:</w:t>
      </w:r>
    </w:p>
    <w:p w:rsidR="008C1AD7" w:rsidRDefault="00294816" w:rsidP="0029481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jednostanowiskowe </w:t>
      </w:r>
      <w:r w:rsidR="008C1AD7" w:rsidRPr="008C1AD7">
        <w:rPr>
          <w:rFonts w:cstheme="minorHAnsi"/>
          <w:color w:val="000000"/>
          <w:sz w:val="24"/>
          <w:szCs w:val="24"/>
        </w:rPr>
        <w:t>– mające możliwość paletyzowania jednej jednostki paletowej</w:t>
      </w:r>
      <w:r>
        <w:rPr>
          <w:rFonts w:cstheme="minorHAnsi"/>
          <w:color w:val="000000"/>
          <w:sz w:val="24"/>
          <w:szCs w:val="24"/>
        </w:rPr>
        <w:t xml:space="preserve">           </w:t>
      </w:r>
      <w:r w:rsidR="008C1AD7" w:rsidRPr="00294816">
        <w:rPr>
          <w:rFonts w:cstheme="minorHAnsi"/>
          <w:color w:val="000000"/>
          <w:sz w:val="24"/>
          <w:szCs w:val="24"/>
        </w:rPr>
        <w:t>w danym czasie (po skończeniu paletyzowania jednej jednostki jest podawana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C1AD7" w:rsidRPr="00294816">
        <w:rPr>
          <w:rFonts w:cstheme="minorHAnsi"/>
          <w:color w:val="000000"/>
          <w:sz w:val="24"/>
          <w:szCs w:val="24"/>
        </w:rPr>
        <w:t>następna);</w:t>
      </w:r>
    </w:p>
    <w:p w:rsidR="00294816" w:rsidRPr="00294816" w:rsidRDefault="00294816" w:rsidP="002948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294816" w:rsidRPr="008C1AD7" w:rsidRDefault="00294816" w:rsidP="0029481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94816"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423112" cy="2009553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44" cy="200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D7" w:rsidRDefault="00294816" w:rsidP="008C1AD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wielostanowiskowe </w:t>
      </w:r>
      <w:r w:rsidR="008C1AD7" w:rsidRPr="008C1AD7">
        <w:rPr>
          <w:rFonts w:cstheme="minorHAnsi"/>
          <w:color w:val="000000"/>
          <w:sz w:val="24"/>
          <w:szCs w:val="24"/>
        </w:rPr>
        <w:t>– umożliwiające paletyzowanie kilku palet jednocześnie.</w:t>
      </w:r>
    </w:p>
    <w:p w:rsidR="00294816" w:rsidRDefault="00294816" w:rsidP="002948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341378" cy="1924164"/>
            <wp:effectExtent l="19050" t="0" r="1772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98" cy="1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16" w:rsidRDefault="00294816" w:rsidP="002948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294816" w:rsidRDefault="00294816" w:rsidP="002948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4816">
        <w:rPr>
          <w:rFonts w:cstheme="minorHAnsi"/>
          <w:color w:val="000000"/>
          <w:sz w:val="24"/>
          <w:szCs w:val="24"/>
        </w:rPr>
        <w:lastRenderedPageBreak/>
        <w:t xml:space="preserve">Kolejnym urządzeniem wykorzystywanym w automatyzacji procesów produkcyjnych jest </w:t>
      </w:r>
      <w:proofErr w:type="spellStart"/>
      <w:r w:rsidRPr="00294816">
        <w:rPr>
          <w:rFonts w:eastAsia="ScalaSansPro-Bold" w:cstheme="minorHAnsi"/>
          <w:b/>
          <w:bCs/>
          <w:color w:val="00B050"/>
          <w:sz w:val="24"/>
          <w:szCs w:val="24"/>
        </w:rPr>
        <w:t>depaletyzator</w:t>
      </w:r>
      <w:proofErr w:type="spellEnd"/>
      <w:r w:rsidRPr="00294816">
        <w:rPr>
          <w:rFonts w:cstheme="minorHAnsi"/>
          <w:color w:val="000000"/>
          <w:sz w:val="24"/>
          <w:szCs w:val="24"/>
        </w:rPr>
        <w:t xml:space="preserve">, służący do rozformowywania </w:t>
      </w:r>
      <w:r>
        <w:rPr>
          <w:rFonts w:cstheme="minorHAnsi"/>
          <w:color w:val="000000"/>
          <w:sz w:val="24"/>
          <w:szCs w:val="24"/>
        </w:rPr>
        <w:t>jednostek paletowych</w:t>
      </w:r>
      <w:r w:rsidRPr="00294816">
        <w:rPr>
          <w:rFonts w:cstheme="minorHAnsi"/>
          <w:color w:val="000000"/>
          <w:sz w:val="24"/>
          <w:szCs w:val="24"/>
        </w:rPr>
        <w:t xml:space="preserve">. </w:t>
      </w:r>
    </w:p>
    <w:p w:rsidR="00294816" w:rsidRDefault="00294816" w:rsidP="002948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467699" cy="2276395"/>
            <wp:effectExtent l="19050" t="0" r="8801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20" cy="227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16" w:rsidRDefault="00294816" w:rsidP="002948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94816">
        <w:rPr>
          <w:rFonts w:cstheme="minorHAnsi"/>
          <w:color w:val="000000"/>
          <w:sz w:val="24"/>
          <w:szCs w:val="24"/>
        </w:rPr>
        <w:t>Depaletyzatory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294816">
        <w:rPr>
          <w:rFonts w:cstheme="minorHAnsi"/>
          <w:color w:val="000000"/>
          <w:sz w:val="24"/>
          <w:szCs w:val="24"/>
        </w:rPr>
        <w:t>są przeważnie wykorzystywane do</w:t>
      </w:r>
      <w:r>
        <w:rPr>
          <w:rFonts w:cstheme="minorHAnsi"/>
          <w:color w:val="000000"/>
          <w:sz w:val="24"/>
          <w:szCs w:val="24"/>
        </w:rPr>
        <w:t xml:space="preserve"> rozpakowywania towarów z palet                         </w:t>
      </w:r>
      <w:r w:rsidRPr="00294816">
        <w:rPr>
          <w:rFonts w:cstheme="minorHAnsi"/>
          <w:color w:val="000000"/>
          <w:sz w:val="24"/>
          <w:szCs w:val="24"/>
        </w:rPr>
        <w:t>i przekazywania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4816">
        <w:rPr>
          <w:rFonts w:cstheme="minorHAnsi"/>
          <w:color w:val="000000"/>
          <w:sz w:val="24"/>
          <w:szCs w:val="24"/>
        </w:rPr>
        <w:t>ich bezpośrednio do linii produkcyjnej. Dzięki całkowitemu zautomatyzowaniu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4816">
        <w:rPr>
          <w:rFonts w:cstheme="minorHAnsi"/>
          <w:color w:val="000000"/>
          <w:sz w:val="24"/>
          <w:szCs w:val="24"/>
        </w:rPr>
        <w:t xml:space="preserve">cechują się dużą wydajnością. Cykl pracy </w:t>
      </w:r>
      <w:proofErr w:type="spellStart"/>
      <w:r w:rsidRPr="00294816">
        <w:rPr>
          <w:rFonts w:cstheme="minorHAnsi"/>
          <w:color w:val="000000"/>
          <w:sz w:val="24"/>
          <w:szCs w:val="24"/>
        </w:rPr>
        <w:t>depaletyzatora</w:t>
      </w:r>
      <w:proofErr w:type="spellEnd"/>
      <w:r w:rsidRPr="00294816">
        <w:rPr>
          <w:rFonts w:cstheme="minorHAnsi"/>
          <w:color w:val="000000"/>
          <w:sz w:val="24"/>
          <w:szCs w:val="24"/>
        </w:rPr>
        <w:t xml:space="preserve"> przebiega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294816">
        <w:rPr>
          <w:rFonts w:cstheme="minorHAnsi"/>
          <w:color w:val="000000"/>
          <w:sz w:val="24"/>
          <w:szCs w:val="24"/>
        </w:rPr>
        <w:t>w następujący sposób</w:t>
      </w:r>
      <w:r>
        <w:rPr>
          <w:rFonts w:cstheme="minorHAnsi"/>
          <w:color w:val="000000"/>
          <w:sz w:val="24"/>
          <w:szCs w:val="24"/>
        </w:rPr>
        <w:t>:</w:t>
      </w:r>
    </w:p>
    <w:p w:rsidR="00294816" w:rsidRDefault="00294816" w:rsidP="002948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4816">
        <w:rPr>
          <w:rFonts w:cstheme="minorHAnsi"/>
          <w:color w:val="000000"/>
          <w:sz w:val="24"/>
          <w:szCs w:val="24"/>
        </w:rPr>
        <w:t>jednostka paletowa jest ustawiana na taśmociągu rolkowym,</w:t>
      </w:r>
    </w:p>
    <w:p w:rsidR="00294816" w:rsidRDefault="00294816" w:rsidP="002948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4816">
        <w:rPr>
          <w:rFonts w:cstheme="minorHAnsi"/>
          <w:color w:val="000000"/>
          <w:sz w:val="24"/>
          <w:szCs w:val="24"/>
        </w:rPr>
        <w:t>następnie paleta jest kierowana taśmociągiem do urządzenia, które zdejmuje folię,</w:t>
      </w:r>
    </w:p>
    <w:p w:rsidR="00294816" w:rsidRDefault="00294816" w:rsidP="002948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4816">
        <w:rPr>
          <w:rFonts w:cstheme="minorHAnsi"/>
          <w:color w:val="000000"/>
          <w:sz w:val="24"/>
          <w:szCs w:val="24"/>
        </w:rPr>
        <w:t>kolejnym etapem jest przekazanie palety do urządzenia, które zdejmuje kartonowe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4816">
        <w:rPr>
          <w:rFonts w:cstheme="minorHAnsi"/>
          <w:color w:val="000000"/>
          <w:sz w:val="24"/>
          <w:szCs w:val="24"/>
        </w:rPr>
        <w:t>przekładki i przekazuje produkty na linię produkcyjną,</w:t>
      </w:r>
    </w:p>
    <w:p w:rsidR="00294816" w:rsidRDefault="00294816" w:rsidP="002948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4816">
        <w:rPr>
          <w:rFonts w:cstheme="minorHAnsi"/>
          <w:color w:val="000000"/>
          <w:sz w:val="24"/>
          <w:szCs w:val="24"/>
        </w:rPr>
        <w:t>cykl ten powtarza się aż do zdjęcia przez automat wszystkich produktów i przekładek,</w:t>
      </w:r>
    </w:p>
    <w:p w:rsidR="00294816" w:rsidRPr="00294816" w:rsidRDefault="00294816" w:rsidP="002948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4816">
        <w:rPr>
          <w:rFonts w:cstheme="minorHAnsi"/>
          <w:color w:val="000000"/>
          <w:sz w:val="24"/>
          <w:szCs w:val="24"/>
        </w:rPr>
        <w:t>na końcu paleta jest odstawiana.</w:t>
      </w:r>
    </w:p>
    <w:p w:rsidR="00F07E89" w:rsidRDefault="00294816" w:rsidP="002948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45774" cy="2287873"/>
            <wp:effectExtent l="19050" t="0" r="6926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03" cy="22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E89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E86C58"/>
    <w:multiLevelType w:val="hybridMultilevel"/>
    <w:tmpl w:val="76E46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06BA"/>
    <w:multiLevelType w:val="hybridMultilevel"/>
    <w:tmpl w:val="79145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D04A3"/>
    <w:multiLevelType w:val="hybridMultilevel"/>
    <w:tmpl w:val="FB604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550E1D"/>
    <w:multiLevelType w:val="hybridMultilevel"/>
    <w:tmpl w:val="568A4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01051"/>
    <w:multiLevelType w:val="hybridMultilevel"/>
    <w:tmpl w:val="7224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A4E39"/>
    <w:multiLevelType w:val="hybridMultilevel"/>
    <w:tmpl w:val="D0D8AB14"/>
    <w:lvl w:ilvl="0" w:tplc="009CE076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55053"/>
    <w:multiLevelType w:val="hybridMultilevel"/>
    <w:tmpl w:val="70340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9"/>
  </w:num>
  <w:num w:numId="4">
    <w:abstractNumId w:val="6"/>
  </w:num>
  <w:num w:numId="5">
    <w:abstractNumId w:val="36"/>
  </w:num>
  <w:num w:numId="6">
    <w:abstractNumId w:val="21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19"/>
  </w:num>
  <w:num w:numId="12">
    <w:abstractNumId w:val="15"/>
  </w:num>
  <w:num w:numId="13">
    <w:abstractNumId w:val="20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32"/>
  </w:num>
  <w:num w:numId="19">
    <w:abstractNumId w:val="14"/>
  </w:num>
  <w:num w:numId="20">
    <w:abstractNumId w:val="4"/>
  </w:num>
  <w:num w:numId="21">
    <w:abstractNumId w:val="27"/>
  </w:num>
  <w:num w:numId="22">
    <w:abstractNumId w:val="30"/>
  </w:num>
  <w:num w:numId="23">
    <w:abstractNumId w:val="31"/>
  </w:num>
  <w:num w:numId="24">
    <w:abstractNumId w:val="33"/>
  </w:num>
  <w:num w:numId="25">
    <w:abstractNumId w:val="3"/>
  </w:num>
  <w:num w:numId="26">
    <w:abstractNumId w:val="1"/>
  </w:num>
  <w:num w:numId="27">
    <w:abstractNumId w:val="7"/>
  </w:num>
  <w:num w:numId="28">
    <w:abstractNumId w:val="25"/>
  </w:num>
  <w:num w:numId="29">
    <w:abstractNumId w:val="23"/>
  </w:num>
  <w:num w:numId="30">
    <w:abstractNumId w:val="24"/>
  </w:num>
  <w:num w:numId="31">
    <w:abstractNumId w:val="9"/>
  </w:num>
  <w:num w:numId="32">
    <w:abstractNumId w:val="12"/>
  </w:num>
  <w:num w:numId="33">
    <w:abstractNumId w:val="28"/>
  </w:num>
  <w:num w:numId="34">
    <w:abstractNumId w:val="17"/>
  </w:num>
  <w:num w:numId="35">
    <w:abstractNumId w:val="11"/>
  </w:num>
  <w:num w:numId="36">
    <w:abstractNumId w:val="2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A4D5C"/>
    <w:rsid w:val="001000C8"/>
    <w:rsid w:val="00170D2F"/>
    <w:rsid w:val="001919EC"/>
    <w:rsid w:val="001B6944"/>
    <w:rsid w:val="001E7AB1"/>
    <w:rsid w:val="00225D5D"/>
    <w:rsid w:val="002439EB"/>
    <w:rsid w:val="00294816"/>
    <w:rsid w:val="002B27DE"/>
    <w:rsid w:val="002F16E3"/>
    <w:rsid w:val="002F2496"/>
    <w:rsid w:val="002F610E"/>
    <w:rsid w:val="00363046"/>
    <w:rsid w:val="00424ECF"/>
    <w:rsid w:val="0043699B"/>
    <w:rsid w:val="004434E0"/>
    <w:rsid w:val="004D4752"/>
    <w:rsid w:val="005566F7"/>
    <w:rsid w:val="005823DE"/>
    <w:rsid w:val="00590FC6"/>
    <w:rsid w:val="005A0894"/>
    <w:rsid w:val="005A3A02"/>
    <w:rsid w:val="005C23B9"/>
    <w:rsid w:val="006137AC"/>
    <w:rsid w:val="006550EC"/>
    <w:rsid w:val="00670103"/>
    <w:rsid w:val="006850CD"/>
    <w:rsid w:val="006B1E0D"/>
    <w:rsid w:val="00742B54"/>
    <w:rsid w:val="00777E3D"/>
    <w:rsid w:val="007831F3"/>
    <w:rsid w:val="00784B24"/>
    <w:rsid w:val="007F763B"/>
    <w:rsid w:val="00822A97"/>
    <w:rsid w:val="0082477A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B60"/>
    <w:rsid w:val="00984397"/>
    <w:rsid w:val="00997CAF"/>
    <w:rsid w:val="009B01B0"/>
    <w:rsid w:val="009B1FB9"/>
    <w:rsid w:val="00A129AC"/>
    <w:rsid w:val="00A4036A"/>
    <w:rsid w:val="00A4773D"/>
    <w:rsid w:val="00A5033B"/>
    <w:rsid w:val="00A64F3A"/>
    <w:rsid w:val="00A8651E"/>
    <w:rsid w:val="00A901AF"/>
    <w:rsid w:val="00B76455"/>
    <w:rsid w:val="00BA04A3"/>
    <w:rsid w:val="00BC56F0"/>
    <w:rsid w:val="00BE1BFF"/>
    <w:rsid w:val="00C07B9F"/>
    <w:rsid w:val="00C420CE"/>
    <w:rsid w:val="00CD053D"/>
    <w:rsid w:val="00CD45D3"/>
    <w:rsid w:val="00CE6909"/>
    <w:rsid w:val="00D15317"/>
    <w:rsid w:val="00D62903"/>
    <w:rsid w:val="00D94211"/>
    <w:rsid w:val="00DA0616"/>
    <w:rsid w:val="00DB0F2D"/>
    <w:rsid w:val="00DB4F6E"/>
    <w:rsid w:val="00DE536C"/>
    <w:rsid w:val="00E36A98"/>
    <w:rsid w:val="00E644C2"/>
    <w:rsid w:val="00E67008"/>
    <w:rsid w:val="00EB3960"/>
    <w:rsid w:val="00F00B60"/>
    <w:rsid w:val="00F07E89"/>
    <w:rsid w:val="00F14BAC"/>
    <w:rsid w:val="00F25631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49</cp:revision>
  <dcterms:created xsi:type="dcterms:W3CDTF">2020-10-25T17:51:00Z</dcterms:created>
  <dcterms:modified xsi:type="dcterms:W3CDTF">2021-01-26T17:40:00Z</dcterms:modified>
</cp:coreProperties>
</file>