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527733" w:rsidRDefault="00B129BA" w:rsidP="00703C6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0E6123">
        <w:rPr>
          <w:b/>
          <w:sz w:val="24"/>
          <w:szCs w:val="24"/>
        </w:rPr>
        <w:t>.0</w:t>
      </w:r>
      <w:r w:rsidR="00383138">
        <w:rPr>
          <w:rFonts w:cstheme="minorHAnsi"/>
          <w:b/>
          <w:sz w:val="24"/>
          <w:szCs w:val="24"/>
        </w:rPr>
        <w:t>5</w:t>
      </w:r>
      <w:r w:rsidR="002F610E" w:rsidRPr="00527733">
        <w:rPr>
          <w:rFonts w:cstheme="minorHAnsi"/>
          <w:b/>
          <w:sz w:val="24"/>
          <w:szCs w:val="24"/>
        </w:rPr>
        <w:t>.2021</w:t>
      </w:r>
      <w:r w:rsidR="00CD053D" w:rsidRPr="00527733">
        <w:rPr>
          <w:rFonts w:cstheme="minorHAnsi"/>
          <w:b/>
          <w:sz w:val="24"/>
          <w:szCs w:val="24"/>
        </w:rPr>
        <w:t xml:space="preserve"> r.</w:t>
      </w:r>
    </w:p>
    <w:p w:rsidR="00984397" w:rsidRPr="002C344E" w:rsidRDefault="00984397" w:rsidP="00703C6A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984397" w:rsidRDefault="00225D5D" w:rsidP="00703C6A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sz w:val="24"/>
          <w:szCs w:val="24"/>
        </w:rPr>
        <w:t>klasa – I</w:t>
      </w:r>
      <w:r w:rsidR="00CD053D" w:rsidRPr="00527733">
        <w:rPr>
          <w:rFonts w:cstheme="minorHAnsi"/>
          <w:b/>
          <w:sz w:val="24"/>
          <w:szCs w:val="24"/>
        </w:rPr>
        <w:t xml:space="preserve"> tl</w:t>
      </w:r>
      <w:r w:rsidR="00916F25" w:rsidRPr="00527733">
        <w:rPr>
          <w:rFonts w:cstheme="minorHAnsi"/>
          <w:b/>
          <w:sz w:val="24"/>
          <w:szCs w:val="24"/>
        </w:rPr>
        <w:t>p</w:t>
      </w:r>
      <w:r w:rsidR="00CD053D" w:rsidRPr="00527733">
        <w:rPr>
          <w:rFonts w:cstheme="minorHAnsi"/>
          <w:b/>
          <w:sz w:val="24"/>
          <w:szCs w:val="24"/>
        </w:rPr>
        <w:t xml:space="preserve">, nauczyciel – Arkadiusz Załęski,  przedmiot – gospodarka magazynowa, </w:t>
      </w:r>
      <w:r w:rsidR="00894A77" w:rsidRPr="00527733">
        <w:rPr>
          <w:rFonts w:cstheme="minorHAnsi"/>
          <w:b/>
          <w:sz w:val="24"/>
          <w:szCs w:val="24"/>
        </w:rPr>
        <w:t xml:space="preserve">              </w:t>
      </w:r>
      <w:r w:rsidR="00CD053D" w:rsidRPr="00527733">
        <w:rPr>
          <w:rFonts w:cstheme="minorHAnsi"/>
          <w:b/>
          <w:sz w:val="24"/>
          <w:szCs w:val="24"/>
        </w:rPr>
        <w:t>temat</w:t>
      </w:r>
      <w:r w:rsidR="00CB126A">
        <w:rPr>
          <w:rFonts w:cstheme="minorHAnsi"/>
          <w:b/>
          <w:sz w:val="24"/>
          <w:szCs w:val="24"/>
        </w:rPr>
        <w:t>y:</w:t>
      </w:r>
      <w:r w:rsidR="005959D3">
        <w:rPr>
          <w:rFonts w:cstheme="minorHAnsi"/>
          <w:b/>
          <w:sz w:val="24"/>
          <w:szCs w:val="24"/>
        </w:rPr>
        <w:t xml:space="preserve"> </w:t>
      </w:r>
      <w:r w:rsidR="008517C5">
        <w:rPr>
          <w:rFonts w:cstheme="minorHAnsi"/>
          <w:b/>
          <w:i/>
          <w:sz w:val="24"/>
          <w:szCs w:val="24"/>
        </w:rPr>
        <w:t>Warunki i parametry przechowywania zapasów.</w:t>
      </w:r>
    </w:p>
    <w:p w:rsidR="00872FD4" w:rsidRPr="008517C5" w:rsidRDefault="00872FD4" w:rsidP="00703C6A">
      <w:pPr>
        <w:spacing w:after="0" w:line="240" w:lineRule="auto"/>
        <w:jc w:val="both"/>
        <w:rPr>
          <w:rFonts w:eastAsia="Times New Roman" w:cstheme="minorHAnsi"/>
          <w:b/>
          <w:i/>
          <w:sz w:val="8"/>
          <w:szCs w:val="8"/>
        </w:rPr>
      </w:pPr>
    </w:p>
    <w:p w:rsidR="008517C5" w:rsidRPr="00527733" w:rsidRDefault="008517C5" w:rsidP="00703C6A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 xml:space="preserve">Drodzy uczniowie! </w:t>
      </w:r>
    </w:p>
    <w:p w:rsidR="008517C5" w:rsidRPr="002C344E" w:rsidRDefault="008517C5" w:rsidP="00703C6A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8517C5" w:rsidRPr="00527733" w:rsidRDefault="008517C5" w:rsidP="00703C6A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>
        <w:rPr>
          <w:rFonts w:cstheme="minorHAnsi"/>
          <w:b/>
          <w:i/>
          <w:sz w:val="24"/>
          <w:szCs w:val="24"/>
        </w:rPr>
        <w:t xml:space="preserve"> </w:t>
      </w:r>
      <w:r w:rsidR="007E7D52">
        <w:rPr>
          <w:rFonts w:cstheme="minorHAnsi"/>
          <w:b/>
          <w:i/>
          <w:sz w:val="24"/>
          <w:szCs w:val="24"/>
        </w:rPr>
        <w:t>P</w:t>
      </w:r>
      <w:r w:rsidRPr="00527733">
        <w:rPr>
          <w:rFonts w:cstheme="minorHAnsi"/>
          <w:b/>
          <w:i/>
          <w:sz w:val="24"/>
          <w:szCs w:val="24"/>
        </w:rPr>
        <w:t>ytania, wątpliwośc</w:t>
      </w:r>
      <w:r w:rsidR="007E7D52">
        <w:rPr>
          <w:rFonts w:cstheme="minorHAnsi"/>
          <w:b/>
          <w:i/>
          <w:sz w:val="24"/>
          <w:szCs w:val="24"/>
        </w:rPr>
        <w:t xml:space="preserve">i proszę kierować </w:t>
      </w:r>
      <w:r w:rsidRPr="00527733">
        <w:rPr>
          <w:rFonts w:cstheme="minorHAnsi"/>
          <w:b/>
          <w:i/>
          <w:sz w:val="24"/>
          <w:szCs w:val="24"/>
        </w:rPr>
        <w:t xml:space="preserve">na mój adres </w:t>
      </w:r>
      <w:r w:rsidR="007E7D52">
        <w:rPr>
          <w:rFonts w:cstheme="minorHAnsi"/>
          <w:b/>
          <w:i/>
          <w:sz w:val="24"/>
          <w:szCs w:val="24"/>
        </w:rPr>
        <w:t xml:space="preserve">               </w:t>
      </w:r>
      <w:r w:rsidRPr="00527733">
        <w:rPr>
          <w:rFonts w:cstheme="minorHAnsi"/>
          <w:b/>
          <w:i/>
          <w:sz w:val="24"/>
          <w:szCs w:val="24"/>
        </w:rPr>
        <w:t xml:space="preserve">e-mail </w:t>
      </w:r>
      <w:hyperlink r:id="rId5" w:history="1">
        <w:r w:rsidRPr="00527733">
          <w:rPr>
            <w:rStyle w:val="Hipercze"/>
            <w:rFonts w:cstheme="minorHAnsi"/>
            <w:b/>
            <w:i/>
            <w:sz w:val="24"/>
            <w:szCs w:val="24"/>
          </w:rPr>
          <w:t>minorsam@interia.pl</w:t>
        </w:r>
      </w:hyperlink>
      <w:r w:rsidRPr="00527733">
        <w:rPr>
          <w:rFonts w:cstheme="minorHAnsi"/>
          <w:b/>
          <w:i/>
          <w:sz w:val="24"/>
          <w:szCs w:val="24"/>
        </w:rPr>
        <w:t xml:space="preserve"> .</w:t>
      </w:r>
    </w:p>
    <w:p w:rsidR="008517C5" w:rsidRPr="002C344E" w:rsidRDefault="008517C5" w:rsidP="00703C6A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3E5C33" w:rsidRDefault="008517C5" w:rsidP="0078606B">
      <w:pPr>
        <w:spacing w:after="0" w:line="240" w:lineRule="auto"/>
        <w:ind w:firstLine="708"/>
        <w:jc w:val="both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78606B" w:rsidRPr="0078606B" w:rsidRDefault="0078606B" w:rsidP="0078606B">
      <w:pPr>
        <w:spacing w:after="0" w:line="240" w:lineRule="auto"/>
        <w:ind w:firstLine="708"/>
        <w:jc w:val="both"/>
        <w:rPr>
          <w:rFonts w:cstheme="minorHAnsi"/>
          <w:b/>
          <w:i/>
          <w:sz w:val="8"/>
          <w:szCs w:val="8"/>
        </w:rPr>
      </w:pPr>
    </w:p>
    <w:p w:rsidR="00B129BA" w:rsidRDefault="00B129BA" w:rsidP="00B129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129BA">
        <w:rPr>
          <w:sz w:val="24"/>
          <w:szCs w:val="24"/>
        </w:rPr>
        <w:t>Istnieją metody zabezpieczenia metali przed korozją. Przede wszystkim należy zabezpieczyć metal, który ma bezpośredni kontakt z żywnością. Do kontaktu z żywnością stosuje się tzw. metale nierdzewne. Opakowania, które są dopuszczane do kontaktu z żywnością, muszą spełniać wymogi Rozporządzenia Parlamentu Europejskiego i  Rady (WE) nr 1935/2004</w:t>
      </w:r>
      <w:r>
        <w:rPr>
          <w:sz w:val="24"/>
          <w:szCs w:val="24"/>
        </w:rPr>
        <w:t xml:space="preserve"> z dnia 27 października 2004 r. </w:t>
      </w:r>
      <w:r w:rsidRPr="00B129BA">
        <w:rPr>
          <w:sz w:val="24"/>
          <w:szCs w:val="24"/>
        </w:rPr>
        <w:t xml:space="preserve">w sprawie materiałów i wyrobów przeznaczonych do kontaktu z żywnością oraz uchylające dyrektywy 80/590/EWG i 89/109/EWG. </w:t>
      </w:r>
    </w:p>
    <w:p w:rsidR="00B129BA" w:rsidRDefault="00B129BA" w:rsidP="00B129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129BA">
        <w:rPr>
          <w:sz w:val="24"/>
          <w:szCs w:val="24"/>
        </w:rPr>
        <w:t xml:space="preserve">Odpowiednie parametry należy zachować nie tylko na zewnątrz, ale również wewnątrz opakowania. Poziom wilgotności w opakowaniu powinien wynosić od 30 do 40%. </w:t>
      </w:r>
    </w:p>
    <w:p w:rsidR="00B129BA" w:rsidRDefault="00B129BA" w:rsidP="00B129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129BA">
        <w:rPr>
          <w:sz w:val="24"/>
          <w:szCs w:val="24"/>
        </w:rPr>
        <w:t>W każdym magazynie należy przeprowadzać regularne pomiary wilgotności. Przyrządami stosowanymi do pomiaru wilgotności względ</w:t>
      </w:r>
      <w:r>
        <w:rPr>
          <w:sz w:val="24"/>
          <w:szCs w:val="24"/>
        </w:rPr>
        <w:t>nej są: psychrometr i higrometr włosowy.</w:t>
      </w:r>
    </w:p>
    <w:p w:rsidR="0078606B" w:rsidRPr="0078606B" w:rsidRDefault="0078606B" w:rsidP="00B129BA">
      <w:pPr>
        <w:spacing w:after="0" w:line="240" w:lineRule="auto"/>
        <w:jc w:val="both"/>
        <w:rPr>
          <w:sz w:val="8"/>
          <w:szCs w:val="8"/>
        </w:rPr>
      </w:pPr>
    </w:p>
    <w:p w:rsidR="00B129BA" w:rsidRPr="00B129BA" w:rsidRDefault="00B129BA" w:rsidP="00B129BA">
      <w:pPr>
        <w:spacing w:after="0" w:line="240" w:lineRule="auto"/>
        <w:jc w:val="both"/>
        <w:rPr>
          <w:sz w:val="8"/>
          <w:szCs w:val="8"/>
        </w:rPr>
      </w:pPr>
    </w:p>
    <w:p w:rsidR="00B129BA" w:rsidRDefault="00B129BA" w:rsidP="00B129B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692451" cy="243485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973" cy="243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BA" w:rsidRPr="0078606B" w:rsidRDefault="00B129BA" w:rsidP="00B129BA">
      <w:pPr>
        <w:spacing w:after="0" w:line="240" w:lineRule="auto"/>
        <w:jc w:val="center"/>
        <w:rPr>
          <w:sz w:val="8"/>
          <w:szCs w:val="8"/>
        </w:rPr>
      </w:pPr>
    </w:p>
    <w:p w:rsidR="00B129BA" w:rsidRDefault="0078606B" w:rsidP="0078606B">
      <w:pPr>
        <w:spacing w:after="0" w:line="240" w:lineRule="auto"/>
        <w:jc w:val="both"/>
      </w:pPr>
      <w:r>
        <w:rPr>
          <w:sz w:val="24"/>
          <w:szCs w:val="24"/>
        </w:rPr>
        <w:t xml:space="preserve">       </w:t>
      </w:r>
      <w:r w:rsidR="00B129BA" w:rsidRPr="00B129BA">
        <w:rPr>
          <w:sz w:val="24"/>
          <w:szCs w:val="24"/>
        </w:rPr>
        <w:t>Zachowanie odpowiednich parametrów wilgotności w przechowywaniu danej grupy towarów jest konieczne, aby właściwości produktów się nie zmieniły. Wilgotność powietrza jest uzależniona od temperatury, dlatego te dwa parametry wymagają zsynchronizowania</w:t>
      </w:r>
      <w:r w:rsidR="00B129BA">
        <w:t>.</w:t>
      </w:r>
    </w:p>
    <w:p w:rsidR="0078606B" w:rsidRPr="0078606B" w:rsidRDefault="0078606B" w:rsidP="0078606B">
      <w:pPr>
        <w:spacing w:after="0" w:line="240" w:lineRule="auto"/>
        <w:jc w:val="both"/>
        <w:rPr>
          <w:sz w:val="8"/>
          <w:szCs w:val="8"/>
        </w:rPr>
      </w:pPr>
    </w:p>
    <w:p w:rsidR="0078606B" w:rsidRDefault="0078606B" w:rsidP="0078606B">
      <w:pPr>
        <w:spacing w:after="0" w:line="240" w:lineRule="auto"/>
        <w:jc w:val="both"/>
      </w:pPr>
      <w:r>
        <w:rPr>
          <w:b/>
          <w:color w:val="00B050"/>
          <w:sz w:val="24"/>
          <w:szCs w:val="24"/>
        </w:rPr>
        <w:t xml:space="preserve">       </w:t>
      </w:r>
      <w:r w:rsidRPr="0078606B">
        <w:rPr>
          <w:b/>
          <w:color w:val="00B050"/>
          <w:sz w:val="24"/>
          <w:szCs w:val="24"/>
        </w:rPr>
        <w:t>Temperatura</w:t>
      </w:r>
      <w:r w:rsidRPr="0078606B">
        <w:rPr>
          <w:sz w:val="24"/>
          <w:szCs w:val="24"/>
        </w:rPr>
        <w:t xml:space="preserve"> jest ważnym czynnikiem mającym wpływ na przygotowanie towarów </w:t>
      </w:r>
      <w:r w:rsidR="007E7D52">
        <w:rPr>
          <w:sz w:val="24"/>
          <w:szCs w:val="24"/>
        </w:rPr>
        <w:t xml:space="preserve">              </w:t>
      </w:r>
      <w:r w:rsidRPr="0078606B">
        <w:rPr>
          <w:sz w:val="24"/>
          <w:szCs w:val="24"/>
        </w:rPr>
        <w:t xml:space="preserve">do przechowywania. Jej wpływ na przechowywane towary jest uzależniony od ich właściwości. </w:t>
      </w:r>
    </w:p>
    <w:p w:rsidR="0078606B" w:rsidRDefault="0078606B" w:rsidP="0078606B">
      <w:pPr>
        <w:spacing w:after="0" w:line="240" w:lineRule="auto"/>
        <w:jc w:val="both"/>
        <w:rPr>
          <w:sz w:val="24"/>
          <w:szCs w:val="24"/>
        </w:rPr>
      </w:pPr>
      <w:r>
        <w:t xml:space="preserve">       </w:t>
      </w:r>
      <w:r w:rsidRPr="0078606B">
        <w:rPr>
          <w:sz w:val="24"/>
          <w:szCs w:val="24"/>
        </w:rPr>
        <w:t xml:space="preserve">Niezachowanie odpowiedniej temperatury skutkuje szybszym psuciem się produktów </w:t>
      </w:r>
      <w:r>
        <w:rPr>
          <w:sz w:val="24"/>
          <w:szCs w:val="24"/>
        </w:rPr>
        <w:t xml:space="preserve">              </w:t>
      </w:r>
      <w:r w:rsidRPr="0078606B">
        <w:rPr>
          <w:sz w:val="24"/>
          <w:szCs w:val="24"/>
        </w:rPr>
        <w:t>oraz pogorszeniem ich jakości. Niewłaściwa temperatura pobudza procesy fizyczne, chemiczne i biochemiczne. Powoduje zmianę konsystencji artykułów, gdyż wywołuje parowanie wody. Niskie temperatury przechowywania towarów mogą wpływać niekorzystnie na cechy organoleptyczne produktów, np. przemarznięte ziemniaki stają się słodkie.</w:t>
      </w:r>
      <w:r>
        <w:rPr>
          <w:sz w:val="24"/>
          <w:szCs w:val="24"/>
        </w:rPr>
        <w:t xml:space="preserve"> </w:t>
      </w:r>
      <w:r w:rsidRPr="0078606B">
        <w:rPr>
          <w:sz w:val="24"/>
          <w:szCs w:val="24"/>
        </w:rPr>
        <w:t xml:space="preserve">Niezapewnienie właściwej temperatury przechowywanym towarom może wiązać się </w:t>
      </w:r>
      <w:r w:rsidRPr="0078606B">
        <w:rPr>
          <w:sz w:val="24"/>
          <w:szCs w:val="24"/>
        </w:rPr>
        <w:lastRenderedPageBreak/>
        <w:t>z dużym niebezpieczeństwem, np. spowodować samozapłon produktów, dlatego w magazynach znajdują się urządzenia techniczne służące do pomiaru i rejestracji temperatury.</w:t>
      </w:r>
    </w:p>
    <w:p w:rsidR="0060616D" w:rsidRPr="0060616D" w:rsidRDefault="0060616D" w:rsidP="0078606B">
      <w:pPr>
        <w:spacing w:after="0" w:line="240" w:lineRule="auto"/>
        <w:jc w:val="both"/>
        <w:rPr>
          <w:sz w:val="8"/>
          <w:szCs w:val="8"/>
        </w:rPr>
      </w:pPr>
    </w:p>
    <w:p w:rsidR="0078606B" w:rsidRDefault="0078606B" w:rsidP="0078606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322013" cy="1956391"/>
            <wp:effectExtent l="19050" t="0" r="2087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16" cy="195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16D" w:rsidRPr="0060616D" w:rsidRDefault="0060616D" w:rsidP="0078606B">
      <w:pPr>
        <w:spacing w:after="0" w:line="240" w:lineRule="auto"/>
        <w:jc w:val="center"/>
        <w:rPr>
          <w:sz w:val="8"/>
          <w:szCs w:val="8"/>
        </w:rPr>
      </w:pPr>
    </w:p>
    <w:p w:rsidR="0078606B" w:rsidRPr="0078606B" w:rsidRDefault="0078606B" w:rsidP="0078606B">
      <w:pPr>
        <w:spacing w:after="0" w:line="240" w:lineRule="auto"/>
        <w:jc w:val="center"/>
        <w:rPr>
          <w:sz w:val="8"/>
          <w:szCs w:val="8"/>
        </w:rPr>
      </w:pPr>
    </w:p>
    <w:p w:rsidR="0078606B" w:rsidRDefault="0078606B" w:rsidP="007860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616D" w:rsidRPr="0078606B">
        <w:rPr>
          <w:sz w:val="24"/>
          <w:szCs w:val="24"/>
        </w:rPr>
        <w:t>Aby produkty nie utraciły swoich właściwości, należy im zapewnić odpowiednią temperaturę.</w:t>
      </w:r>
      <w:r w:rsidR="0060616D" w:rsidRPr="0078606B">
        <w:t xml:space="preserve"> </w:t>
      </w:r>
      <w:r>
        <w:rPr>
          <w:sz w:val="24"/>
          <w:szCs w:val="24"/>
        </w:rPr>
        <w:t xml:space="preserve">W </w:t>
      </w:r>
      <w:r w:rsidRPr="0078606B">
        <w:rPr>
          <w:sz w:val="24"/>
          <w:szCs w:val="24"/>
        </w:rPr>
        <w:t>tabeli poniżej podano wysokość optymalnej temperatury przechowywania poszczególnych towarów.</w:t>
      </w:r>
    </w:p>
    <w:p w:rsidR="0060616D" w:rsidRPr="0060616D" w:rsidRDefault="0060616D" w:rsidP="0078606B">
      <w:pPr>
        <w:spacing w:after="0" w:line="240" w:lineRule="auto"/>
        <w:jc w:val="both"/>
        <w:rPr>
          <w:sz w:val="8"/>
          <w:szCs w:val="8"/>
        </w:rPr>
      </w:pPr>
    </w:p>
    <w:p w:rsidR="0078606B" w:rsidRPr="0078606B" w:rsidRDefault="0078606B" w:rsidP="0078606B">
      <w:pPr>
        <w:spacing w:after="0" w:line="240" w:lineRule="auto"/>
        <w:jc w:val="both"/>
        <w:rPr>
          <w:sz w:val="8"/>
          <w:szCs w:val="8"/>
        </w:rPr>
      </w:pPr>
    </w:p>
    <w:p w:rsidR="0078606B" w:rsidRDefault="0078606B" w:rsidP="0078606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462393" cy="3561907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445" cy="356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6B" w:rsidRPr="0060616D" w:rsidRDefault="0078606B" w:rsidP="0078606B">
      <w:pPr>
        <w:spacing w:after="0" w:line="240" w:lineRule="auto"/>
        <w:jc w:val="center"/>
        <w:rPr>
          <w:sz w:val="8"/>
          <w:szCs w:val="8"/>
        </w:rPr>
      </w:pPr>
    </w:p>
    <w:p w:rsidR="0078606B" w:rsidRDefault="0078606B" w:rsidP="007E7D52">
      <w:pPr>
        <w:spacing w:after="0" w:line="240" w:lineRule="auto"/>
        <w:jc w:val="both"/>
        <w:rPr>
          <w:sz w:val="24"/>
          <w:szCs w:val="24"/>
        </w:rPr>
      </w:pPr>
      <w:r w:rsidRPr="0078606B">
        <w:rPr>
          <w:b/>
          <w:color w:val="00B050"/>
          <w:sz w:val="24"/>
          <w:szCs w:val="24"/>
        </w:rPr>
        <w:t xml:space="preserve">       Rosa</w:t>
      </w:r>
      <w:r w:rsidRPr="0078606B">
        <w:rPr>
          <w:sz w:val="24"/>
          <w:szCs w:val="24"/>
        </w:rPr>
        <w:t xml:space="preserve"> (skroplona para wodna) osadza się na produktach w  wyniku wypromieniowania przez nie energii cieplnej, jeżeli temperatura otoczen</w:t>
      </w:r>
      <w:r>
        <w:rPr>
          <w:sz w:val="24"/>
          <w:szCs w:val="24"/>
        </w:rPr>
        <w:t>ia spadnie poniżej punktu rosy</w:t>
      </w:r>
      <w:r w:rsidRPr="0078606B">
        <w:rPr>
          <w:sz w:val="24"/>
          <w:szCs w:val="24"/>
        </w:rPr>
        <w:t xml:space="preserve">. </w:t>
      </w:r>
    </w:p>
    <w:p w:rsidR="0078606B" w:rsidRPr="0078606B" w:rsidRDefault="0078606B" w:rsidP="0078606B">
      <w:pPr>
        <w:spacing w:after="0" w:line="240" w:lineRule="auto"/>
        <w:rPr>
          <w:sz w:val="8"/>
          <w:szCs w:val="8"/>
        </w:rPr>
      </w:pPr>
    </w:p>
    <w:p w:rsidR="0078606B" w:rsidRDefault="0078606B" w:rsidP="007E7D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8606B">
        <w:rPr>
          <w:sz w:val="24"/>
          <w:szCs w:val="24"/>
        </w:rPr>
        <w:t>Skraplanie pary wodnej prowadzi do zawilgocenia towarów, zmniejszenia ich trwałości oraz do obniżenia jakości.</w:t>
      </w:r>
    </w:p>
    <w:p w:rsidR="0078606B" w:rsidRPr="0060616D" w:rsidRDefault="0078606B" w:rsidP="0078606B">
      <w:pPr>
        <w:spacing w:after="0" w:line="240" w:lineRule="auto"/>
        <w:rPr>
          <w:sz w:val="8"/>
          <w:szCs w:val="8"/>
        </w:rPr>
      </w:pPr>
    </w:p>
    <w:p w:rsidR="0078606B" w:rsidRDefault="0060616D" w:rsidP="0078606B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</w:t>
      </w:r>
      <w:r w:rsidR="0078606B" w:rsidRPr="0060616D">
        <w:rPr>
          <w:b/>
          <w:color w:val="00B050"/>
          <w:sz w:val="24"/>
          <w:szCs w:val="24"/>
        </w:rPr>
        <w:t>Powietrze</w:t>
      </w:r>
      <w:r w:rsidR="0078606B" w:rsidRPr="0078606B">
        <w:rPr>
          <w:sz w:val="24"/>
          <w:szCs w:val="24"/>
        </w:rPr>
        <w:t xml:space="preserve"> ma jednocześnie dodatni i ujemny wpływ na żywność.</w:t>
      </w:r>
    </w:p>
    <w:p w:rsidR="0060616D" w:rsidRPr="0060616D" w:rsidRDefault="0060616D" w:rsidP="0078606B">
      <w:pPr>
        <w:spacing w:after="0" w:line="240" w:lineRule="auto"/>
        <w:jc w:val="both"/>
        <w:rPr>
          <w:sz w:val="8"/>
          <w:szCs w:val="8"/>
        </w:rPr>
      </w:pPr>
    </w:p>
    <w:p w:rsidR="0060616D" w:rsidRPr="0060616D" w:rsidRDefault="0060616D" w:rsidP="007860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0616D">
        <w:rPr>
          <w:sz w:val="24"/>
          <w:szCs w:val="24"/>
        </w:rPr>
        <w:t>Powietrze ma niekorzystny wpływ na żywność o dużej zawartości tłuszczu. Przyspiesza procesy utleniania i jełczenia tłuszczu oraz prowadzi do utraty niektórych witamin. Skutkiem tych procesów jest ciemnienie owoców i warzyw.</w:t>
      </w:r>
    </w:p>
    <w:p w:rsidR="0078606B" w:rsidRPr="0078606B" w:rsidRDefault="0078606B" w:rsidP="007E7D52">
      <w:pPr>
        <w:spacing w:after="0" w:line="240" w:lineRule="auto"/>
        <w:rPr>
          <w:sz w:val="24"/>
          <w:szCs w:val="24"/>
        </w:rPr>
      </w:pPr>
    </w:p>
    <w:sectPr w:rsidR="0078606B" w:rsidRPr="0078606B" w:rsidSect="003E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C54"/>
    <w:multiLevelType w:val="hybridMultilevel"/>
    <w:tmpl w:val="16F2A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C21"/>
    <w:multiLevelType w:val="hybridMultilevel"/>
    <w:tmpl w:val="38A0E5A2"/>
    <w:lvl w:ilvl="0" w:tplc="47A4C5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723A"/>
    <w:multiLevelType w:val="hybridMultilevel"/>
    <w:tmpl w:val="F33034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022B9"/>
    <w:multiLevelType w:val="hybridMultilevel"/>
    <w:tmpl w:val="898C6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46E9A"/>
    <w:multiLevelType w:val="hybridMultilevel"/>
    <w:tmpl w:val="901E42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3586A"/>
    <w:multiLevelType w:val="hybridMultilevel"/>
    <w:tmpl w:val="2D301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6312C"/>
    <w:multiLevelType w:val="hybridMultilevel"/>
    <w:tmpl w:val="1DE8B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F5209"/>
    <w:multiLevelType w:val="hybridMultilevel"/>
    <w:tmpl w:val="9EE2E31C"/>
    <w:lvl w:ilvl="0" w:tplc="E064F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A640D"/>
    <w:multiLevelType w:val="hybridMultilevel"/>
    <w:tmpl w:val="3028D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0779F"/>
    <w:multiLevelType w:val="hybridMultilevel"/>
    <w:tmpl w:val="C4348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11764"/>
    <w:multiLevelType w:val="hybridMultilevel"/>
    <w:tmpl w:val="2868766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C731821"/>
    <w:multiLevelType w:val="hybridMultilevel"/>
    <w:tmpl w:val="E3722C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F1D76"/>
    <w:multiLevelType w:val="hybridMultilevel"/>
    <w:tmpl w:val="E3548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B5E5D"/>
    <w:multiLevelType w:val="hybridMultilevel"/>
    <w:tmpl w:val="A0568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21089"/>
    <w:multiLevelType w:val="hybridMultilevel"/>
    <w:tmpl w:val="FACCE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424D0"/>
    <w:multiLevelType w:val="hybridMultilevel"/>
    <w:tmpl w:val="DBC80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B2359"/>
    <w:multiLevelType w:val="hybridMultilevel"/>
    <w:tmpl w:val="448073A8"/>
    <w:lvl w:ilvl="0" w:tplc="8886F0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D42BC"/>
    <w:multiLevelType w:val="hybridMultilevel"/>
    <w:tmpl w:val="F328C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7253A"/>
    <w:multiLevelType w:val="hybridMultilevel"/>
    <w:tmpl w:val="ABE62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87E63"/>
    <w:multiLevelType w:val="hybridMultilevel"/>
    <w:tmpl w:val="C4B62E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0314B"/>
    <w:multiLevelType w:val="hybridMultilevel"/>
    <w:tmpl w:val="69C89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23811"/>
    <w:multiLevelType w:val="hybridMultilevel"/>
    <w:tmpl w:val="66763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52417"/>
    <w:multiLevelType w:val="hybridMultilevel"/>
    <w:tmpl w:val="71928F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32E6E"/>
    <w:multiLevelType w:val="hybridMultilevel"/>
    <w:tmpl w:val="3E3CEB5A"/>
    <w:lvl w:ilvl="0" w:tplc="92703950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2751D07"/>
    <w:multiLevelType w:val="hybridMultilevel"/>
    <w:tmpl w:val="92449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137181"/>
    <w:multiLevelType w:val="hybridMultilevel"/>
    <w:tmpl w:val="816ED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B1739"/>
    <w:multiLevelType w:val="hybridMultilevel"/>
    <w:tmpl w:val="3AF2CE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5477D"/>
    <w:multiLevelType w:val="hybridMultilevel"/>
    <w:tmpl w:val="9EB61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92C33"/>
    <w:multiLevelType w:val="hybridMultilevel"/>
    <w:tmpl w:val="BBBE0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76C49"/>
    <w:multiLevelType w:val="hybridMultilevel"/>
    <w:tmpl w:val="3B72E30A"/>
    <w:lvl w:ilvl="0" w:tplc="715A1C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373F6"/>
    <w:multiLevelType w:val="hybridMultilevel"/>
    <w:tmpl w:val="E9E478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45A7B"/>
    <w:multiLevelType w:val="hybridMultilevel"/>
    <w:tmpl w:val="EB3286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67ADA"/>
    <w:multiLevelType w:val="hybridMultilevel"/>
    <w:tmpl w:val="7F58B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651A4"/>
    <w:multiLevelType w:val="hybridMultilevel"/>
    <w:tmpl w:val="9746D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E2C9A"/>
    <w:multiLevelType w:val="hybridMultilevel"/>
    <w:tmpl w:val="A20883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2"/>
  </w:num>
  <w:num w:numId="5">
    <w:abstractNumId w:val="5"/>
  </w:num>
  <w:num w:numId="6">
    <w:abstractNumId w:val="33"/>
  </w:num>
  <w:num w:numId="7">
    <w:abstractNumId w:val="13"/>
  </w:num>
  <w:num w:numId="8">
    <w:abstractNumId w:val="11"/>
  </w:num>
  <w:num w:numId="9">
    <w:abstractNumId w:val="27"/>
  </w:num>
  <w:num w:numId="10">
    <w:abstractNumId w:val="30"/>
  </w:num>
  <w:num w:numId="11">
    <w:abstractNumId w:val="18"/>
  </w:num>
  <w:num w:numId="12">
    <w:abstractNumId w:val="26"/>
  </w:num>
  <w:num w:numId="13">
    <w:abstractNumId w:val="0"/>
  </w:num>
  <w:num w:numId="14">
    <w:abstractNumId w:val="31"/>
  </w:num>
  <w:num w:numId="15">
    <w:abstractNumId w:val="25"/>
  </w:num>
  <w:num w:numId="16">
    <w:abstractNumId w:val="14"/>
  </w:num>
  <w:num w:numId="17">
    <w:abstractNumId w:val="21"/>
  </w:num>
  <w:num w:numId="18">
    <w:abstractNumId w:val="8"/>
  </w:num>
  <w:num w:numId="19">
    <w:abstractNumId w:val="10"/>
  </w:num>
  <w:num w:numId="20">
    <w:abstractNumId w:val="23"/>
  </w:num>
  <w:num w:numId="21">
    <w:abstractNumId w:val="15"/>
  </w:num>
  <w:num w:numId="22">
    <w:abstractNumId w:val="32"/>
  </w:num>
  <w:num w:numId="23">
    <w:abstractNumId w:val="7"/>
  </w:num>
  <w:num w:numId="24">
    <w:abstractNumId w:val="28"/>
  </w:num>
  <w:num w:numId="25">
    <w:abstractNumId w:val="29"/>
  </w:num>
  <w:num w:numId="26">
    <w:abstractNumId w:val="17"/>
  </w:num>
  <w:num w:numId="27">
    <w:abstractNumId w:val="2"/>
  </w:num>
  <w:num w:numId="28">
    <w:abstractNumId w:val="3"/>
  </w:num>
  <w:num w:numId="29">
    <w:abstractNumId w:val="9"/>
  </w:num>
  <w:num w:numId="30">
    <w:abstractNumId w:val="19"/>
  </w:num>
  <w:num w:numId="31">
    <w:abstractNumId w:val="24"/>
  </w:num>
  <w:num w:numId="32">
    <w:abstractNumId w:val="34"/>
  </w:num>
  <w:num w:numId="33">
    <w:abstractNumId w:val="1"/>
  </w:num>
  <w:num w:numId="34">
    <w:abstractNumId w:val="4"/>
  </w:num>
  <w:num w:numId="35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053D"/>
    <w:rsid w:val="00003F1E"/>
    <w:rsid w:val="00027473"/>
    <w:rsid w:val="00032DE7"/>
    <w:rsid w:val="0003555D"/>
    <w:rsid w:val="000459EF"/>
    <w:rsid w:val="00084442"/>
    <w:rsid w:val="00086848"/>
    <w:rsid w:val="000A4D5C"/>
    <w:rsid w:val="000E6123"/>
    <w:rsid w:val="001000C8"/>
    <w:rsid w:val="00121BED"/>
    <w:rsid w:val="001312BD"/>
    <w:rsid w:val="00166D97"/>
    <w:rsid w:val="00170D2F"/>
    <w:rsid w:val="00172F22"/>
    <w:rsid w:val="00183470"/>
    <w:rsid w:val="001919EC"/>
    <w:rsid w:val="001A21A7"/>
    <w:rsid w:val="001B6944"/>
    <w:rsid w:val="001E7AB1"/>
    <w:rsid w:val="00205705"/>
    <w:rsid w:val="00225D5D"/>
    <w:rsid w:val="002362C5"/>
    <w:rsid w:val="002439EB"/>
    <w:rsid w:val="002555E0"/>
    <w:rsid w:val="00270C8C"/>
    <w:rsid w:val="002733EF"/>
    <w:rsid w:val="002850AC"/>
    <w:rsid w:val="00285CF9"/>
    <w:rsid w:val="0028664B"/>
    <w:rsid w:val="00294816"/>
    <w:rsid w:val="002A2395"/>
    <w:rsid w:val="002A3D3D"/>
    <w:rsid w:val="002B27DE"/>
    <w:rsid w:val="002C344E"/>
    <w:rsid w:val="002C3478"/>
    <w:rsid w:val="002F16E3"/>
    <w:rsid w:val="002F2496"/>
    <w:rsid w:val="002F610E"/>
    <w:rsid w:val="00310839"/>
    <w:rsid w:val="00323335"/>
    <w:rsid w:val="003307CE"/>
    <w:rsid w:val="00363046"/>
    <w:rsid w:val="00383138"/>
    <w:rsid w:val="00396B56"/>
    <w:rsid w:val="003B0509"/>
    <w:rsid w:val="003E5C33"/>
    <w:rsid w:val="003F6F3F"/>
    <w:rsid w:val="00414702"/>
    <w:rsid w:val="00424ECF"/>
    <w:rsid w:val="00427514"/>
    <w:rsid w:val="00427519"/>
    <w:rsid w:val="0043699B"/>
    <w:rsid w:val="004434E0"/>
    <w:rsid w:val="00455972"/>
    <w:rsid w:val="0045706D"/>
    <w:rsid w:val="004677A0"/>
    <w:rsid w:val="0049206A"/>
    <w:rsid w:val="00493114"/>
    <w:rsid w:val="004D0BB4"/>
    <w:rsid w:val="004D4752"/>
    <w:rsid w:val="004D7C70"/>
    <w:rsid w:val="004E2F0E"/>
    <w:rsid w:val="004E6BB1"/>
    <w:rsid w:val="00527733"/>
    <w:rsid w:val="005566F7"/>
    <w:rsid w:val="00567076"/>
    <w:rsid w:val="005718CB"/>
    <w:rsid w:val="00574965"/>
    <w:rsid w:val="005823DE"/>
    <w:rsid w:val="00584DBA"/>
    <w:rsid w:val="00590FC6"/>
    <w:rsid w:val="005959D3"/>
    <w:rsid w:val="005A0894"/>
    <w:rsid w:val="005A3A02"/>
    <w:rsid w:val="005A54E2"/>
    <w:rsid w:val="005C23B9"/>
    <w:rsid w:val="005C2979"/>
    <w:rsid w:val="005E217F"/>
    <w:rsid w:val="00602FAD"/>
    <w:rsid w:val="0060616D"/>
    <w:rsid w:val="00613216"/>
    <w:rsid w:val="006137AC"/>
    <w:rsid w:val="00624FEC"/>
    <w:rsid w:val="006550EC"/>
    <w:rsid w:val="00670103"/>
    <w:rsid w:val="00670CEC"/>
    <w:rsid w:val="006850CD"/>
    <w:rsid w:val="006B1E0D"/>
    <w:rsid w:val="006D3D53"/>
    <w:rsid w:val="00703C6A"/>
    <w:rsid w:val="00732F6B"/>
    <w:rsid w:val="00742B54"/>
    <w:rsid w:val="00774B81"/>
    <w:rsid w:val="00777E3D"/>
    <w:rsid w:val="007831F3"/>
    <w:rsid w:val="00784B24"/>
    <w:rsid w:val="0078606B"/>
    <w:rsid w:val="00794E8C"/>
    <w:rsid w:val="00797732"/>
    <w:rsid w:val="007A2C66"/>
    <w:rsid w:val="007C7AE8"/>
    <w:rsid w:val="007D4CBB"/>
    <w:rsid w:val="007E43F8"/>
    <w:rsid w:val="007E7D52"/>
    <w:rsid w:val="007F69E4"/>
    <w:rsid w:val="007F763B"/>
    <w:rsid w:val="00811601"/>
    <w:rsid w:val="00822A97"/>
    <w:rsid w:val="0082477A"/>
    <w:rsid w:val="008517C5"/>
    <w:rsid w:val="00872FD4"/>
    <w:rsid w:val="008945D9"/>
    <w:rsid w:val="00894A77"/>
    <w:rsid w:val="008A3FE2"/>
    <w:rsid w:val="008B6A61"/>
    <w:rsid w:val="008C1AD7"/>
    <w:rsid w:val="008F1F8F"/>
    <w:rsid w:val="0090358B"/>
    <w:rsid w:val="00904E0F"/>
    <w:rsid w:val="009073D5"/>
    <w:rsid w:val="00912C10"/>
    <w:rsid w:val="00916F25"/>
    <w:rsid w:val="00930368"/>
    <w:rsid w:val="00932AFE"/>
    <w:rsid w:val="00946053"/>
    <w:rsid w:val="00961A2C"/>
    <w:rsid w:val="00970256"/>
    <w:rsid w:val="009758F2"/>
    <w:rsid w:val="009764F6"/>
    <w:rsid w:val="00976B60"/>
    <w:rsid w:val="00984397"/>
    <w:rsid w:val="00997CAF"/>
    <w:rsid w:val="009B01B0"/>
    <w:rsid w:val="009B126E"/>
    <w:rsid w:val="009B1FB9"/>
    <w:rsid w:val="009B4A21"/>
    <w:rsid w:val="009D2347"/>
    <w:rsid w:val="009E7594"/>
    <w:rsid w:val="009F4593"/>
    <w:rsid w:val="00A129AC"/>
    <w:rsid w:val="00A31A8A"/>
    <w:rsid w:val="00A4036A"/>
    <w:rsid w:val="00A4773D"/>
    <w:rsid w:val="00A5033B"/>
    <w:rsid w:val="00A64F3A"/>
    <w:rsid w:val="00A8651E"/>
    <w:rsid w:val="00A87628"/>
    <w:rsid w:val="00A901AF"/>
    <w:rsid w:val="00A90D18"/>
    <w:rsid w:val="00AA6069"/>
    <w:rsid w:val="00AD0762"/>
    <w:rsid w:val="00AF0FFD"/>
    <w:rsid w:val="00B129BA"/>
    <w:rsid w:val="00B53A04"/>
    <w:rsid w:val="00B76455"/>
    <w:rsid w:val="00B82A57"/>
    <w:rsid w:val="00BA04A3"/>
    <w:rsid w:val="00BC56F0"/>
    <w:rsid w:val="00BE1BFF"/>
    <w:rsid w:val="00BE3193"/>
    <w:rsid w:val="00BE5DDC"/>
    <w:rsid w:val="00C07B9F"/>
    <w:rsid w:val="00C15729"/>
    <w:rsid w:val="00C16A06"/>
    <w:rsid w:val="00C23467"/>
    <w:rsid w:val="00C420CE"/>
    <w:rsid w:val="00C619B8"/>
    <w:rsid w:val="00C713D4"/>
    <w:rsid w:val="00C932F8"/>
    <w:rsid w:val="00C95510"/>
    <w:rsid w:val="00CA1980"/>
    <w:rsid w:val="00CB126A"/>
    <w:rsid w:val="00CB448E"/>
    <w:rsid w:val="00CC402C"/>
    <w:rsid w:val="00CD053D"/>
    <w:rsid w:val="00CD45D3"/>
    <w:rsid w:val="00CE6909"/>
    <w:rsid w:val="00CF685D"/>
    <w:rsid w:val="00D15317"/>
    <w:rsid w:val="00D1539A"/>
    <w:rsid w:val="00D16C01"/>
    <w:rsid w:val="00D46634"/>
    <w:rsid w:val="00D62903"/>
    <w:rsid w:val="00D94211"/>
    <w:rsid w:val="00DA0616"/>
    <w:rsid w:val="00DB0F2D"/>
    <w:rsid w:val="00DB1830"/>
    <w:rsid w:val="00DB4F6E"/>
    <w:rsid w:val="00DE536C"/>
    <w:rsid w:val="00DF0CEF"/>
    <w:rsid w:val="00E261C8"/>
    <w:rsid w:val="00E36A98"/>
    <w:rsid w:val="00E644C2"/>
    <w:rsid w:val="00E67008"/>
    <w:rsid w:val="00EB3960"/>
    <w:rsid w:val="00ED301A"/>
    <w:rsid w:val="00F00B60"/>
    <w:rsid w:val="00F0135F"/>
    <w:rsid w:val="00F03E1C"/>
    <w:rsid w:val="00F07E89"/>
    <w:rsid w:val="00F14BAC"/>
    <w:rsid w:val="00F25631"/>
    <w:rsid w:val="00F33763"/>
    <w:rsid w:val="00F458DF"/>
    <w:rsid w:val="00F52681"/>
    <w:rsid w:val="00F92A16"/>
    <w:rsid w:val="00F97977"/>
    <w:rsid w:val="00FC6895"/>
    <w:rsid w:val="00FD3942"/>
    <w:rsid w:val="00F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35</cp:revision>
  <dcterms:created xsi:type="dcterms:W3CDTF">2020-10-25T17:51:00Z</dcterms:created>
  <dcterms:modified xsi:type="dcterms:W3CDTF">2021-05-26T11:28:00Z</dcterms:modified>
</cp:coreProperties>
</file>