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Default="00DB4F6E" w:rsidP="0098439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2439EB">
        <w:rPr>
          <w:b/>
          <w:sz w:val="24"/>
          <w:szCs w:val="24"/>
        </w:rPr>
        <w:t>.12</w:t>
      </w:r>
      <w:r w:rsidR="00CD053D" w:rsidRPr="00894A77">
        <w:rPr>
          <w:b/>
          <w:sz w:val="24"/>
          <w:szCs w:val="24"/>
        </w:rPr>
        <w:t>.2020 r.</w:t>
      </w:r>
    </w:p>
    <w:p w:rsidR="00984397" w:rsidRPr="00894A77" w:rsidRDefault="00984397" w:rsidP="00984397">
      <w:pPr>
        <w:spacing w:after="0" w:line="240" w:lineRule="auto"/>
        <w:rPr>
          <w:b/>
          <w:sz w:val="24"/>
          <w:szCs w:val="24"/>
        </w:rPr>
      </w:pPr>
    </w:p>
    <w:p w:rsidR="00CD053D" w:rsidRDefault="00225D5D" w:rsidP="00984397">
      <w:pPr>
        <w:spacing w:after="0" w:line="240" w:lineRule="auto"/>
        <w:jc w:val="both"/>
        <w:rPr>
          <w:rFonts w:eastAsia="ScalaSansPro-Bold" w:cstheme="minorHAnsi"/>
          <w:b/>
          <w:bCs/>
          <w:i/>
          <w:sz w:val="24"/>
          <w:szCs w:val="24"/>
        </w:rPr>
      </w:pPr>
      <w:r w:rsidRPr="00894A77">
        <w:rPr>
          <w:b/>
          <w:sz w:val="24"/>
          <w:szCs w:val="24"/>
        </w:rPr>
        <w:t>klasa – I</w:t>
      </w:r>
      <w:r w:rsidR="00CD053D" w:rsidRPr="00894A77">
        <w:rPr>
          <w:b/>
          <w:sz w:val="24"/>
          <w:szCs w:val="24"/>
        </w:rPr>
        <w:t xml:space="preserve"> </w:t>
      </w:r>
      <w:proofErr w:type="spellStart"/>
      <w:r w:rsidR="00CD053D" w:rsidRPr="00894A77">
        <w:rPr>
          <w:b/>
          <w:sz w:val="24"/>
          <w:szCs w:val="24"/>
        </w:rPr>
        <w:t>tl</w:t>
      </w:r>
      <w:r w:rsidR="00916F25" w:rsidRPr="00894A77">
        <w:rPr>
          <w:b/>
          <w:sz w:val="24"/>
          <w:szCs w:val="24"/>
        </w:rPr>
        <w:t>p</w:t>
      </w:r>
      <w:proofErr w:type="spellEnd"/>
      <w:r w:rsidR="00CD053D" w:rsidRPr="00894A77">
        <w:rPr>
          <w:b/>
          <w:sz w:val="24"/>
          <w:szCs w:val="24"/>
        </w:rPr>
        <w:t xml:space="preserve">, nauczyciel – Arkadiusz Załęski,  przedmiot – gospodarka magazynowa, </w:t>
      </w:r>
      <w:r w:rsidR="00894A77">
        <w:rPr>
          <w:b/>
          <w:sz w:val="24"/>
          <w:szCs w:val="24"/>
        </w:rPr>
        <w:t xml:space="preserve">              </w:t>
      </w:r>
      <w:r w:rsidR="00CD053D" w:rsidRPr="00894A77">
        <w:rPr>
          <w:b/>
          <w:sz w:val="24"/>
          <w:szCs w:val="24"/>
        </w:rPr>
        <w:t xml:space="preserve">temat </w:t>
      </w:r>
      <w:r w:rsidR="002F16E3" w:rsidRPr="00894A77">
        <w:rPr>
          <w:b/>
          <w:sz w:val="24"/>
          <w:szCs w:val="24"/>
        </w:rPr>
        <w:t xml:space="preserve">– </w:t>
      </w:r>
      <w:r w:rsidR="00DB4F6E">
        <w:rPr>
          <w:rFonts w:eastAsia="ScalaSansPro-Bold" w:cstheme="minorHAnsi"/>
          <w:b/>
          <w:bCs/>
          <w:i/>
          <w:sz w:val="24"/>
          <w:szCs w:val="24"/>
        </w:rPr>
        <w:t>Proces składowania</w:t>
      </w:r>
    </w:p>
    <w:p w:rsidR="00984397" w:rsidRPr="00894A77" w:rsidRDefault="00984397" w:rsidP="00984397">
      <w:pPr>
        <w:spacing w:after="0" w:line="240" w:lineRule="auto"/>
        <w:jc w:val="both"/>
        <w:rPr>
          <w:b/>
          <w:sz w:val="24"/>
          <w:szCs w:val="24"/>
        </w:rPr>
      </w:pPr>
    </w:p>
    <w:p w:rsidR="00894A77" w:rsidRDefault="00CD053D" w:rsidP="00984397">
      <w:pPr>
        <w:spacing w:after="0" w:line="240" w:lineRule="auto"/>
        <w:rPr>
          <w:b/>
          <w:i/>
          <w:sz w:val="24"/>
          <w:szCs w:val="24"/>
        </w:rPr>
      </w:pPr>
      <w:r w:rsidRPr="00894A77">
        <w:rPr>
          <w:b/>
          <w:i/>
          <w:sz w:val="24"/>
          <w:szCs w:val="24"/>
        </w:rPr>
        <w:t xml:space="preserve">Drodzy uczniowie! </w:t>
      </w:r>
    </w:p>
    <w:p w:rsidR="00984397" w:rsidRPr="00894A77" w:rsidRDefault="00984397" w:rsidP="00984397">
      <w:pPr>
        <w:spacing w:after="0" w:line="240" w:lineRule="auto"/>
        <w:rPr>
          <w:b/>
          <w:i/>
          <w:sz w:val="24"/>
          <w:szCs w:val="24"/>
        </w:rPr>
      </w:pPr>
    </w:p>
    <w:p w:rsidR="00916F25" w:rsidRDefault="00CD053D" w:rsidP="00984397">
      <w:pPr>
        <w:spacing w:after="0" w:line="240" w:lineRule="auto"/>
        <w:jc w:val="both"/>
        <w:rPr>
          <w:b/>
          <w:i/>
          <w:sz w:val="24"/>
          <w:szCs w:val="24"/>
        </w:rPr>
      </w:pPr>
      <w:r w:rsidRPr="00777E3D">
        <w:rPr>
          <w:b/>
          <w:i/>
          <w:sz w:val="24"/>
          <w:szCs w:val="24"/>
        </w:rPr>
        <w:t>Proszę zapoznać się z zamieszczoną poniżej notatką. Proszę pr</w:t>
      </w:r>
      <w:r w:rsidR="00363046" w:rsidRPr="00777E3D">
        <w:rPr>
          <w:b/>
          <w:i/>
          <w:sz w:val="24"/>
          <w:szCs w:val="24"/>
        </w:rPr>
        <w:t xml:space="preserve">zepisać notatkę </w:t>
      </w:r>
      <w:r w:rsidRPr="00777E3D">
        <w:rPr>
          <w:b/>
          <w:i/>
          <w:sz w:val="24"/>
          <w:szCs w:val="24"/>
        </w:rPr>
        <w:t>do zeszytu (ewentualnie wydrukować i wkleić).</w:t>
      </w:r>
      <w:r w:rsidR="002439EB" w:rsidRPr="00777E3D">
        <w:rPr>
          <w:b/>
          <w:i/>
          <w:sz w:val="24"/>
          <w:szCs w:val="24"/>
        </w:rPr>
        <w:t xml:space="preserve"> </w:t>
      </w:r>
      <w:r w:rsidR="00EB3960">
        <w:rPr>
          <w:b/>
          <w:i/>
          <w:sz w:val="24"/>
          <w:szCs w:val="24"/>
        </w:rPr>
        <w:t>Ewentualne pytania, wątpliw</w:t>
      </w:r>
      <w:r w:rsidR="00BC56F0">
        <w:rPr>
          <w:b/>
          <w:i/>
          <w:sz w:val="24"/>
          <w:szCs w:val="24"/>
        </w:rPr>
        <w:t xml:space="preserve">ości proszę kierować               </w:t>
      </w:r>
      <w:r w:rsidR="002439EB" w:rsidRPr="00777E3D">
        <w:rPr>
          <w:b/>
          <w:i/>
          <w:sz w:val="24"/>
          <w:szCs w:val="24"/>
        </w:rPr>
        <w:t>na mój adres e-mail</w:t>
      </w:r>
      <w:r w:rsidR="004434E0" w:rsidRPr="00777E3D">
        <w:rPr>
          <w:b/>
          <w:i/>
          <w:sz w:val="24"/>
          <w:szCs w:val="24"/>
        </w:rPr>
        <w:t xml:space="preserve"> </w:t>
      </w:r>
      <w:hyperlink r:id="rId5" w:history="1">
        <w:r w:rsidR="002439EB" w:rsidRPr="00777E3D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BC56F0">
        <w:rPr>
          <w:b/>
          <w:i/>
          <w:sz w:val="24"/>
          <w:szCs w:val="24"/>
        </w:rPr>
        <w:t xml:space="preserve"> .</w:t>
      </w:r>
    </w:p>
    <w:p w:rsidR="00984397" w:rsidRPr="00777E3D" w:rsidRDefault="00984397" w:rsidP="00984397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894A77" w:rsidRPr="00894A77" w:rsidRDefault="00894A77" w:rsidP="00984397">
      <w:pPr>
        <w:spacing w:after="0" w:line="240" w:lineRule="auto"/>
        <w:jc w:val="both"/>
        <w:rPr>
          <w:b/>
          <w:i/>
          <w:sz w:val="8"/>
          <w:szCs w:val="8"/>
        </w:rPr>
      </w:pPr>
    </w:p>
    <w:p w:rsidR="00CD053D" w:rsidRDefault="00916F25" w:rsidP="00984397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984397" w:rsidRDefault="00984397" w:rsidP="00984397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</w:p>
    <w:p w:rsidR="00984397" w:rsidRDefault="00984397" w:rsidP="0098439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 w:rsidR="00DB4F6E" w:rsidRPr="002F2496">
        <w:rPr>
          <w:rFonts w:eastAsia="ScalaSansPro-Bold" w:cstheme="minorHAnsi"/>
          <w:b/>
          <w:bCs/>
          <w:color w:val="00B050"/>
          <w:sz w:val="24"/>
          <w:szCs w:val="24"/>
        </w:rPr>
        <w:t>Proces składowania</w:t>
      </w:r>
      <w:r w:rsidR="00DB4F6E" w:rsidRPr="00DB4F6E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="00DB4F6E" w:rsidRPr="00DB4F6E">
        <w:rPr>
          <w:rFonts w:eastAsia="ScalaSansPro-Bold" w:cstheme="minorHAnsi"/>
          <w:color w:val="000000"/>
          <w:sz w:val="24"/>
          <w:szCs w:val="24"/>
        </w:rPr>
        <w:t>to fizyczne przechowywanie</w:t>
      </w:r>
      <w:r w:rsidR="00DB4F6E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DB4F6E" w:rsidRPr="00DB4F6E">
        <w:rPr>
          <w:rFonts w:eastAsia="ScalaSansPro-Bold" w:cstheme="minorHAnsi"/>
          <w:color w:val="000000"/>
          <w:sz w:val="24"/>
          <w:szCs w:val="24"/>
        </w:rPr>
        <w:t>dóbr w celu ich sprzedaży bądź</w:t>
      </w:r>
      <w:r w:rsidR="00DB4F6E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DB4F6E" w:rsidRPr="00DB4F6E">
        <w:rPr>
          <w:rFonts w:eastAsia="ScalaSansPro-Bold" w:cstheme="minorHAnsi"/>
          <w:color w:val="000000"/>
          <w:sz w:val="24"/>
          <w:szCs w:val="24"/>
        </w:rPr>
        <w:t>wykorzystania</w:t>
      </w:r>
      <w:r w:rsidR="00DB4F6E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DB4F6E" w:rsidRPr="00DB4F6E">
        <w:rPr>
          <w:rFonts w:eastAsia="ScalaSansPro-Bold" w:cstheme="minorHAnsi"/>
          <w:color w:val="000000"/>
          <w:sz w:val="24"/>
          <w:szCs w:val="24"/>
        </w:rPr>
        <w:t>do dalszego przetwarzania.</w:t>
      </w:r>
      <w:r w:rsidR="00DB4F6E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DB4F6E" w:rsidRPr="00DB4F6E">
        <w:rPr>
          <w:rFonts w:eastAsia="ScalaSansPro-Bold" w:cstheme="minorHAnsi"/>
          <w:color w:val="000000"/>
          <w:sz w:val="24"/>
          <w:szCs w:val="24"/>
        </w:rPr>
        <w:t>Proces składowania stanowi podstawową</w:t>
      </w:r>
      <w:r w:rsidR="00DB4F6E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DB4F6E" w:rsidRPr="00DB4F6E">
        <w:rPr>
          <w:rFonts w:eastAsia="ScalaSansPro-Bold" w:cstheme="minorHAnsi"/>
          <w:color w:val="000000"/>
          <w:sz w:val="24"/>
          <w:szCs w:val="24"/>
        </w:rPr>
        <w:t>funkcję magazynowania związaną z przechowywaniem</w:t>
      </w:r>
      <w:r w:rsidR="00DB4F6E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DB4F6E" w:rsidRPr="00DB4F6E">
        <w:rPr>
          <w:rFonts w:eastAsia="ScalaSansPro-Bold" w:cstheme="minorHAnsi"/>
          <w:color w:val="000000"/>
          <w:sz w:val="24"/>
          <w:szCs w:val="24"/>
        </w:rPr>
        <w:t>produktów. Proces ten obejmuje</w:t>
      </w:r>
      <w:r w:rsidR="00DB4F6E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DB4F6E" w:rsidRPr="00DB4F6E">
        <w:rPr>
          <w:rFonts w:eastAsia="ScalaSansPro-Bold" w:cstheme="minorHAnsi"/>
          <w:color w:val="000000"/>
          <w:sz w:val="24"/>
          <w:szCs w:val="24"/>
        </w:rPr>
        <w:t>czynnoś</w:t>
      </w:r>
      <w:r w:rsidR="00DB4F6E">
        <w:rPr>
          <w:rFonts w:eastAsia="ScalaSansPro-Bold" w:cstheme="minorHAnsi"/>
          <w:color w:val="000000"/>
          <w:sz w:val="24"/>
          <w:szCs w:val="24"/>
        </w:rPr>
        <w:t xml:space="preserve">ci </w:t>
      </w:r>
      <w:r w:rsidR="00DB4F6E" w:rsidRPr="00DB4F6E">
        <w:rPr>
          <w:rFonts w:eastAsia="ScalaSansPro-Bold" w:cstheme="minorHAnsi"/>
          <w:color w:val="000000"/>
          <w:sz w:val="24"/>
          <w:szCs w:val="24"/>
        </w:rPr>
        <w:t>związane z przyjęciem</w:t>
      </w:r>
      <w:r w:rsidR="00DB4F6E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DB4F6E" w:rsidRPr="00DB4F6E">
        <w:rPr>
          <w:rFonts w:eastAsia="ScalaSansPro-Bold" w:cstheme="minorHAnsi"/>
          <w:color w:val="000000"/>
          <w:sz w:val="24"/>
          <w:szCs w:val="24"/>
        </w:rPr>
        <w:t>towaru do strefy składowania. Dobra w magazynie</w:t>
      </w:r>
      <w:r w:rsidR="00DB4F6E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DB4F6E" w:rsidRPr="00DB4F6E">
        <w:rPr>
          <w:rFonts w:eastAsia="ScalaSansPro-Bold" w:cstheme="minorHAnsi"/>
          <w:color w:val="000000"/>
          <w:sz w:val="24"/>
          <w:szCs w:val="24"/>
        </w:rPr>
        <w:t>są</w:t>
      </w:r>
      <w:r w:rsidR="00DB4F6E">
        <w:rPr>
          <w:rFonts w:eastAsia="ScalaSansPro-Bold" w:cstheme="minorHAnsi"/>
          <w:color w:val="000000"/>
          <w:sz w:val="24"/>
          <w:szCs w:val="24"/>
        </w:rPr>
        <w:t xml:space="preserve"> umieszczane                w </w:t>
      </w:r>
      <w:r w:rsidR="00DB4F6E" w:rsidRPr="00DB4F6E">
        <w:rPr>
          <w:rFonts w:eastAsia="ScalaSansPro-Bold" w:cstheme="minorHAnsi"/>
          <w:color w:val="000000"/>
          <w:sz w:val="24"/>
          <w:szCs w:val="24"/>
        </w:rPr>
        <w:t>sposób usystematyzowany,</w:t>
      </w:r>
      <w:r w:rsidR="00DB4F6E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DB4F6E" w:rsidRPr="00DB4F6E">
        <w:rPr>
          <w:rFonts w:eastAsia="ScalaSansPro-Bold" w:cstheme="minorHAnsi"/>
          <w:color w:val="000000"/>
          <w:sz w:val="24"/>
          <w:szCs w:val="24"/>
        </w:rPr>
        <w:t>pozwalający na sprawną organizację</w:t>
      </w:r>
      <w:r w:rsidR="00DB4F6E">
        <w:rPr>
          <w:rFonts w:eastAsia="ScalaSansPro-Bold" w:cstheme="minorHAnsi"/>
          <w:color w:val="000000"/>
          <w:sz w:val="24"/>
          <w:szCs w:val="24"/>
        </w:rPr>
        <w:t xml:space="preserve"> magazynu. </w:t>
      </w:r>
      <w:r w:rsidR="00DB4F6E" w:rsidRPr="00DB4F6E">
        <w:rPr>
          <w:rFonts w:eastAsia="ScalaSansPro-Bold" w:cstheme="minorHAnsi"/>
          <w:color w:val="000000"/>
          <w:sz w:val="24"/>
          <w:szCs w:val="24"/>
        </w:rPr>
        <w:t>Usystematyzowanie dóbr</w:t>
      </w:r>
      <w:r w:rsidR="00DB4F6E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DB4F6E" w:rsidRPr="00DB4F6E">
        <w:rPr>
          <w:rFonts w:eastAsia="ScalaSansPro-Bold" w:cstheme="minorHAnsi"/>
          <w:color w:val="000000"/>
          <w:sz w:val="24"/>
          <w:szCs w:val="24"/>
        </w:rPr>
        <w:t>odbywa się poprzez proces normalizacji</w:t>
      </w:r>
      <w:r w:rsidR="00DB4F6E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DB4F6E" w:rsidRPr="00DB4F6E">
        <w:rPr>
          <w:rFonts w:eastAsia="ScalaSansPro-Bold" w:cstheme="minorHAnsi"/>
          <w:color w:val="000000"/>
          <w:sz w:val="24"/>
          <w:szCs w:val="24"/>
        </w:rPr>
        <w:t>opakowań</w:t>
      </w:r>
      <w:r w:rsidR="00DB4F6E">
        <w:rPr>
          <w:rFonts w:eastAsia="ScalaSansPro-Bold" w:cstheme="minorHAnsi"/>
          <w:color w:val="000000"/>
          <w:sz w:val="24"/>
          <w:szCs w:val="24"/>
        </w:rPr>
        <w:t xml:space="preserve">. Obecnie </w:t>
      </w:r>
      <w:r w:rsidR="00DB4F6E" w:rsidRPr="00DB4F6E">
        <w:rPr>
          <w:rFonts w:eastAsia="ScalaSansPro-Bold" w:cstheme="minorHAnsi"/>
          <w:color w:val="000000"/>
          <w:sz w:val="24"/>
          <w:szCs w:val="24"/>
        </w:rPr>
        <w:t>najpopularniejszą jednostką</w:t>
      </w:r>
      <w:r w:rsidR="00DB4F6E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DB4F6E" w:rsidRPr="00DB4F6E">
        <w:rPr>
          <w:rFonts w:eastAsia="ScalaSansPro-Bold" w:cstheme="minorHAnsi"/>
          <w:color w:val="000000"/>
          <w:sz w:val="24"/>
          <w:szCs w:val="24"/>
        </w:rPr>
        <w:t>ładunkową wykorzystywaną w magazynie</w:t>
      </w:r>
      <w:r w:rsidR="00DB4F6E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DB4F6E" w:rsidRPr="00DB4F6E">
        <w:rPr>
          <w:rFonts w:eastAsia="ScalaSansPro-Bold" w:cstheme="minorHAnsi"/>
          <w:color w:val="000000"/>
          <w:sz w:val="24"/>
          <w:szCs w:val="24"/>
        </w:rPr>
        <w:t>jest tzw. paleta typu EUR. Palety EUR</w:t>
      </w:r>
      <w:r w:rsidR="00DB4F6E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DB4F6E" w:rsidRPr="00DB4F6E">
        <w:rPr>
          <w:rFonts w:eastAsia="ScalaSansPro-Bold" w:cstheme="minorHAnsi"/>
          <w:color w:val="000000"/>
          <w:sz w:val="24"/>
          <w:szCs w:val="24"/>
        </w:rPr>
        <w:t>z towarem są znakowane etykietami logistycznymi</w:t>
      </w:r>
      <w:r w:rsidR="00DB4F6E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DB4F6E" w:rsidRPr="00DB4F6E">
        <w:rPr>
          <w:rFonts w:eastAsia="ScalaSansPro-Bold" w:cstheme="minorHAnsi"/>
          <w:color w:val="000000"/>
          <w:sz w:val="24"/>
          <w:szCs w:val="24"/>
        </w:rPr>
        <w:t xml:space="preserve">i rejestrowane </w:t>
      </w:r>
      <w:r w:rsidR="00DB4F6E">
        <w:rPr>
          <w:rFonts w:eastAsia="ScalaSansPro-Bold" w:cstheme="minorHAnsi"/>
          <w:color w:val="000000"/>
          <w:sz w:val="24"/>
          <w:szCs w:val="24"/>
        </w:rPr>
        <w:t xml:space="preserve">                           </w:t>
      </w:r>
      <w:r w:rsidR="00DB4F6E" w:rsidRPr="00DB4F6E">
        <w:rPr>
          <w:rFonts w:eastAsia="ScalaSansPro-Bold" w:cstheme="minorHAnsi"/>
          <w:color w:val="000000"/>
          <w:sz w:val="24"/>
          <w:szCs w:val="24"/>
        </w:rPr>
        <w:t>w systemie zgodnie</w:t>
      </w:r>
      <w:r w:rsidR="00DB4F6E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DB4F6E" w:rsidRPr="00DB4F6E">
        <w:rPr>
          <w:rFonts w:eastAsia="ScalaSansPro-Bold" w:cstheme="minorHAnsi"/>
          <w:color w:val="000000"/>
          <w:sz w:val="24"/>
          <w:szCs w:val="24"/>
        </w:rPr>
        <w:t>z miejscem składowania w magazynie.</w:t>
      </w:r>
    </w:p>
    <w:p w:rsidR="00984397" w:rsidRDefault="00984397" w:rsidP="0098439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</w:t>
      </w:r>
      <w:r w:rsidR="00DB4F6E" w:rsidRPr="00DB4F6E">
        <w:rPr>
          <w:rFonts w:eastAsia="ScalaSansPro-Bold" w:cstheme="minorHAnsi"/>
          <w:color w:val="000000"/>
          <w:sz w:val="24"/>
          <w:szCs w:val="24"/>
        </w:rPr>
        <w:t>W procesie składowania istotnym kryterium</w:t>
      </w:r>
      <w:r w:rsidR="00DB4F6E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DB4F6E" w:rsidRPr="00DB4F6E">
        <w:rPr>
          <w:rFonts w:eastAsia="ScalaSansPro-Bold" w:cstheme="minorHAnsi"/>
          <w:color w:val="000000"/>
          <w:sz w:val="24"/>
          <w:szCs w:val="24"/>
        </w:rPr>
        <w:t>są warunki, w jakich są przechowywane</w:t>
      </w:r>
      <w:r w:rsidR="00DB4F6E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DB4F6E" w:rsidRPr="00DB4F6E">
        <w:rPr>
          <w:rFonts w:eastAsia="ScalaSansPro-Bold" w:cstheme="minorHAnsi"/>
          <w:color w:val="000000"/>
          <w:sz w:val="24"/>
          <w:szCs w:val="24"/>
        </w:rPr>
        <w:t>produkty. Należy pamiętać, że</w:t>
      </w:r>
      <w:r w:rsidR="00DB4F6E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DB4F6E" w:rsidRPr="00DB4F6E">
        <w:rPr>
          <w:rFonts w:eastAsia="ScalaSansPro-Bold" w:cstheme="minorHAnsi"/>
          <w:color w:val="000000"/>
          <w:sz w:val="24"/>
          <w:szCs w:val="24"/>
        </w:rPr>
        <w:t>magazyn przeznaczony do składowania</w:t>
      </w:r>
      <w:r w:rsidR="00DB4F6E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DB4F6E" w:rsidRPr="00DB4F6E">
        <w:rPr>
          <w:rFonts w:eastAsia="ScalaSansPro-Bold" w:cstheme="minorHAnsi"/>
          <w:color w:val="000000"/>
          <w:sz w:val="24"/>
          <w:szCs w:val="24"/>
        </w:rPr>
        <w:t>produktów powinien być</w:t>
      </w:r>
      <w:r w:rsidR="00DB4F6E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DB4F6E" w:rsidRPr="00DB4F6E">
        <w:rPr>
          <w:rFonts w:eastAsia="ScalaSansPro-Bold" w:cstheme="minorHAnsi"/>
          <w:color w:val="000000"/>
          <w:sz w:val="24"/>
          <w:szCs w:val="24"/>
        </w:rPr>
        <w:t>czysty,</w:t>
      </w:r>
      <w:r w:rsidR="00DB4F6E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DB4F6E" w:rsidRPr="00DB4F6E">
        <w:rPr>
          <w:rFonts w:eastAsia="ScalaSansPro-Bold" w:cstheme="minorHAnsi"/>
          <w:color w:val="000000"/>
          <w:sz w:val="24"/>
          <w:szCs w:val="24"/>
        </w:rPr>
        <w:t>zabezpieczony przed gryzoniami,</w:t>
      </w:r>
      <w:r w:rsidR="00DB4F6E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DB4F6E" w:rsidRPr="00DB4F6E">
        <w:rPr>
          <w:rFonts w:eastAsia="ScalaSansPro-Bold" w:cstheme="minorHAnsi"/>
          <w:color w:val="000000"/>
          <w:sz w:val="24"/>
          <w:szCs w:val="24"/>
        </w:rPr>
        <w:t xml:space="preserve">wyposażony w </w:t>
      </w:r>
      <w:proofErr w:type="spellStart"/>
      <w:r w:rsidR="00DB4F6E" w:rsidRPr="00DB4F6E">
        <w:rPr>
          <w:rFonts w:eastAsia="ScalaSansPro-Bold" w:cstheme="minorHAnsi"/>
          <w:color w:val="000000"/>
          <w:sz w:val="24"/>
          <w:szCs w:val="24"/>
        </w:rPr>
        <w:t>niepylną</w:t>
      </w:r>
      <w:proofErr w:type="spellEnd"/>
      <w:r w:rsidR="00DB4F6E" w:rsidRPr="00DB4F6E">
        <w:rPr>
          <w:rFonts w:eastAsia="ScalaSansPro-Bold" w:cstheme="minorHAnsi"/>
          <w:color w:val="000000"/>
          <w:sz w:val="24"/>
          <w:szCs w:val="24"/>
        </w:rPr>
        <w:t>, łatwo zmywalną</w:t>
      </w:r>
      <w:r w:rsidR="00DB4F6E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DB4F6E" w:rsidRPr="00DB4F6E">
        <w:rPr>
          <w:rFonts w:eastAsia="ScalaSansPro-Bold" w:cstheme="minorHAnsi"/>
          <w:color w:val="000000"/>
          <w:sz w:val="24"/>
          <w:szCs w:val="24"/>
        </w:rPr>
        <w:t>podłogę</w:t>
      </w:r>
      <w:r w:rsidR="00DB4F6E">
        <w:rPr>
          <w:rFonts w:eastAsia="ScalaSansPro-Bold" w:cstheme="minorHAnsi"/>
          <w:color w:val="000000"/>
          <w:sz w:val="24"/>
          <w:szCs w:val="24"/>
        </w:rPr>
        <w:t xml:space="preserve"> i ściany.</w:t>
      </w:r>
    </w:p>
    <w:p w:rsidR="00DB4F6E" w:rsidRPr="00984397" w:rsidRDefault="00984397" w:rsidP="0098439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</w:t>
      </w:r>
      <w:r w:rsidR="00DB4F6E" w:rsidRPr="00DB4F6E">
        <w:rPr>
          <w:rFonts w:cstheme="minorHAnsi"/>
          <w:sz w:val="24"/>
          <w:szCs w:val="24"/>
        </w:rPr>
        <w:t>W zależności od zastosowanych stref</w:t>
      </w:r>
      <w:r w:rsidR="00DB4F6E">
        <w:rPr>
          <w:rFonts w:cstheme="minorHAnsi"/>
          <w:sz w:val="24"/>
          <w:szCs w:val="24"/>
        </w:rPr>
        <w:t xml:space="preserve"> </w:t>
      </w:r>
      <w:r w:rsidR="00DB4F6E" w:rsidRPr="00DB4F6E">
        <w:rPr>
          <w:rFonts w:cstheme="minorHAnsi"/>
          <w:sz w:val="24"/>
          <w:szCs w:val="24"/>
        </w:rPr>
        <w:t>składowania wyróżnia się różne sposoby</w:t>
      </w:r>
      <w:r w:rsidR="00DB4F6E">
        <w:rPr>
          <w:rFonts w:cstheme="minorHAnsi"/>
          <w:sz w:val="24"/>
          <w:szCs w:val="24"/>
        </w:rPr>
        <w:t xml:space="preserve"> </w:t>
      </w:r>
      <w:r w:rsidR="00DB4F6E" w:rsidRPr="00DB4F6E">
        <w:rPr>
          <w:rFonts w:cstheme="minorHAnsi"/>
          <w:sz w:val="24"/>
          <w:szCs w:val="24"/>
        </w:rPr>
        <w:t>składowania. Podstawowym podziałem</w:t>
      </w:r>
      <w:r w:rsidR="00DB4F6E">
        <w:rPr>
          <w:rFonts w:cstheme="minorHAnsi"/>
          <w:sz w:val="24"/>
          <w:szCs w:val="24"/>
        </w:rPr>
        <w:t xml:space="preserve"> </w:t>
      </w:r>
      <w:r w:rsidR="00DB4F6E" w:rsidRPr="00DB4F6E">
        <w:rPr>
          <w:rFonts w:cstheme="minorHAnsi"/>
          <w:sz w:val="24"/>
          <w:szCs w:val="24"/>
        </w:rPr>
        <w:t>jest podział ze względu na zastosowane regały</w:t>
      </w:r>
      <w:r w:rsidR="00DB4F6E">
        <w:rPr>
          <w:rFonts w:cstheme="minorHAnsi"/>
          <w:sz w:val="24"/>
          <w:szCs w:val="24"/>
        </w:rPr>
        <w:t xml:space="preserve"> </w:t>
      </w:r>
      <w:r w:rsidR="00DB4F6E" w:rsidRPr="00DB4F6E">
        <w:rPr>
          <w:rFonts w:cstheme="minorHAnsi"/>
          <w:sz w:val="24"/>
          <w:szCs w:val="24"/>
        </w:rPr>
        <w:t>– wysokiego bądź niskiego składowania</w:t>
      </w:r>
      <w:r w:rsidR="00DB4F6E">
        <w:rPr>
          <w:rFonts w:cstheme="minorHAnsi"/>
          <w:sz w:val="24"/>
          <w:szCs w:val="24"/>
        </w:rPr>
        <w:t>.</w:t>
      </w:r>
    </w:p>
    <w:p w:rsidR="002F2496" w:rsidRPr="00DB4F6E" w:rsidRDefault="002F2496" w:rsidP="009843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2477A" w:rsidRDefault="002F2496" w:rsidP="009843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1850513" cy="2305699"/>
            <wp:effectExtent l="19050" t="0" r="0" b="0"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951" cy="231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4F6E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2044877" cy="2519917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657" cy="2520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397" w:rsidRDefault="00984397" w:rsidP="009843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2F2496" w:rsidRDefault="00984397" w:rsidP="009843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="002F2496">
        <w:rPr>
          <w:rFonts w:cstheme="minorHAnsi"/>
          <w:color w:val="000000"/>
          <w:sz w:val="24"/>
          <w:szCs w:val="24"/>
        </w:rPr>
        <w:t>Na rysunku poniżej</w:t>
      </w:r>
      <w:r w:rsidR="002F2496" w:rsidRPr="002F2496">
        <w:rPr>
          <w:rFonts w:cstheme="minorHAnsi"/>
          <w:color w:val="000000"/>
          <w:sz w:val="24"/>
          <w:szCs w:val="24"/>
        </w:rPr>
        <w:t xml:space="preserve"> przedstawiono </w:t>
      </w:r>
      <w:r w:rsidR="002F2496" w:rsidRPr="002F2496">
        <w:rPr>
          <w:rFonts w:eastAsia="ScalaSansPro-Bold" w:cstheme="minorHAnsi"/>
          <w:b/>
          <w:bCs/>
          <w:color w:val="00B050"/>
          <w:sz w:val="24"/>
          <w:szCs w:val="24"/>
        </w:rPr>
        <w:t>podział stref magazynowych</w:t>
      </w:r>
      <w:r w:rsidR="002F2496" w:rsidRPr="002F2496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="002F2496">
        <w:rPr>
          <w:rFonts w:cstheme="minorHAnsi"/>
          <w:color w:val="000000"/>
          <w:sz w:val="24"/>
          <w:szCs w:val="24"/>
        </w:rPr>
        <w:t xml:space="preserve">ze szczególnym </w:t>
      </w:r>
      <w:r w:rsidR="002F2496" w:rsidRPr="002F2496">
        <w:rPr>
          <w:rFonts w:cstheme="minorHAnsi"/>
          <w:color w:val="000000"/>
          <w:sz w:val="24"/>
          <w:szCs w:val="24"/>
        </w:rPr>
        <w:t>uwzględnieniem</w:t>
      </w:r>
      <w:r w:rsidR="002F2496">
        <w:rPr>
          <w:rFonts w:cstheme="minorHAnsi"/>
          <w:color w:val="000000"/>
          <w:sz w:val="24"/>
          <w:szCs w:val="24"/>
        </w:rPr>
        <w:t xml:space="preserve"> </w:t>
      </w:r>
      <w:r w:rsidR="002F2496" w:rsidRPr="002F2496">
        <w:rPr>
          <w:rFonts w:cstheme="minorHAnsi"/>
          <w:color w:val="000000"/>
          <w:sz w:val="24"/>
          <w:szCs w:val="24"/>
        </w:rPr>
        <w:t>wyposażenia ich w odpowiednie systemy składowania i regały.</w:t>
      </w:r>
    </w:p>
    <w:p w:rsidR="002F2496" w:rsidRPr="002F2496" w:rsidRDefault="002F2496" w:rsidP="009843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>
            <wp:extent cx="4765601" cy="3140952"/>
            <wp:effectExtent l="19050" t="0" r="0" b="0"/>
            <wp:docPr id="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152" cy="3147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2496" w:rsidRPr="002F2496" w:rsidSect="0094605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34C"/>
    <w:multiLevelType w:val="hybridMultilevel"/>
    <w:tmpl w:val="B9ACA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426F3"/>
    <w:multiLevelType w:val="hybridMultilevel"/>
    <w:tmpl w:val="F37A2D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37E8D"/>
    <w:multiLevelType w:val="hybridMultilevel"/>
    <w:tmpl w:val="6DD88786"/>
    <w:lvl w:ilvl="0" w:tplc="7EAC1F40">
      <w:start w:val="1"/>
      <w:numFmt w:val="lowerLetter"/>
      <w:lvlText w:val="%1)"/>
      <w:lvlJc w:val="left"/>
      <w:pPr>
        <w:ind w:left="1080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45458C"/>
    <w:multiLevelType w:val="multilevel"/>
    <w:tmpl w:val="C3CE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4C757B"/>
    <w:multiLevelType w:val="hybridMultilevel"/>
    <w:tmpl w:val="87869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20DE0"/>
    <w:multiLevelType w:val="hybridMultilevel"/>
    <w:tmpl w:val="7A16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3E6AFD"/>
    <w:multiLevelType w:val="multilevel"/>
    <w:tmpl w:val="7726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E407E3"/>
    <w:multiLevelType w:val="hybridMultilevel"/>
    <w:tmpl w:val="60724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D0608C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7E1161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54052"/>
    <w:multiLevelType w:val="hybridMultilevel"/>
    <w:tmpl w:val="D584E990"/>
    <w:lvl w:ilvl="0" w:tplc="14A69796">
      <w:start w:val="1"/>
      <w:numFmt w:val="lowerLetter"/>
      <w:lvlText w:val="%1)"/>
      <w:lvlJc w:val="left"/>
      <w:pPr>
        <w:ind w:left="1080" w:hanging="360"/>
      </w:pPr>
      <w:rPr>
        <w:rFonts w:ascii="ScalaPro" w:hAnsi="ScalaPro" w:cs="ScalaPr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4E5AF9"/>
    <w:multiLevelType w:val="hybridMultilevel"/>
    <w:tmpl w:val="853CE4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9336C8"/>
    <w:multiLevelType w:val="hybridMultilevel"/>
    <w:tmpl w:val="828230BA"/>
    <w:lvl w:ilvl="0" w:tplc="F3F0B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39596A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CF1EA2"/>
    <w:multiLevelType w:val="hybridMultilevel"/>
    <w:tmpl w:val="E4F8A0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A215D9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81856"/>
    <w:multiLevelType w:val="hybridMultilevel"/>
    <w:tmpl w:val="3BD01CB2"/>
    <w:lvl w:ilvl="0" w:tplc="AEF80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084084"/>
    <w:multiLevelType w:val="hybridMultilevel"/>
    <w:tmpl w:val="74ECF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666DC"/>
    <w:multiLevelType w:val="hybridMultilevel"/>
    <w:tmpl w:val="C60E81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677EB"/>
    <w:multiLevelType w:val="hybridMultilevel"/>
    <w:tmpl w:val="AD4CAA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712CD"/>
    <w:multiLevelType w:val="hybridMultilevel"/>
    <w:tmpl w:val="CDCC81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546257"/>
    <w:multiLevelType w:val="hybridMultilevel"/>
    <w:tmpl w:val="C6589026"/>
    <w:lvl w:ilvl="0" w:tplc="9CF4CDB4">
      <w:start w:val="1"/>
      <w:numFmt w:val="lowerLetter"/>
      <w:lvlText w:val="%1)"/>
      <w:lvlJc w:val="left"/>
      <w:pPr>
        <w:ind w:left="1068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63701F0"/>
    <w:multiLevelType w:val="multilevel"/>
    <w:tmpl w:val="F33A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5105F1"/>
    <w:multiLevelType w:val="hybridMultilevel"/>
    <w:tmpl w:val="2B34C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83538"/>
    <w:multiLevelType w:val="hybridMultilevel"/>
    <w:tmpl w:val="C144EE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A846D0"/>
    <w:multiLevelType w:val="multilevel"/>
    <w:tmpl w:val="C4B4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420D3A"/>
    <w:multiLevelType w:val="hybridMultilevel"/>
    <w:tmpl w:val="4560C8E0"/>
    <w:lvl w:ilvl="0" w:tplc="B99416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8D19E9"/>
    <w:multiLevelType w:val="hybridMultilevel"/>
    <w:tmpl w:val="7B0C1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51100C"/>
    <w:multiLevelType w:val="hybridMultilevel"/>
    <w:tmpl w:val="00144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47A0D"/>
    <w:multiLevelType w:val="hybridMultilevel"/>
    <w:tmpl w:val="12C69622"/>
    <w:lvl w:ilvl="0" w:tplc="041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23"/>
  </w:num>
  <w:num w:numId="4">
    <w:abstractNumId w:val="6"/>
  </w:num>
  <w:num w:numId="5">
    <w:abstractNumId w:val="29"/>
  </w:num>
  <w:num w:numId="6">
    <w:abstractNumId w:val="17"/>
  </w:num>
  <w:num w:numId="7">
    <w:abstractNumId w:val="0"/>
  </w:num>
  <w:num w:numId="8">
    <w:abstractNumId w:val="2"/>
  </w:num>
  <w:num w:numId="9">
    <w:abstractNumId w:val="21"/>
  </w:num>
  <w:num w:numId="10">
    <w:abstractNumId w:val="5"/>
  </w:num>
  <w:num w:numId="11">
    <w:abstractNumId w:val="15"/>
  </w:num>
  <w:num w:numId="12">
    <w:abstractNumId w:val="12"/>
  </w:num>
  <w:num w:numId="13">
    <w:abstractNumId w:val="16"/>
  </w:num>
  <w:num w:numId="14">
    <w:abstractNumId w:val="9"/>
  </w:num>
  <w:num w:numId="15">
    <w:abstractNumId w:val="10"/>
  </w:num>
  <w:num w:numId="16">
    <w:abstractNumId w:val="13"/>
  </w:num>
  <w:num w:numId="17">
    <w:abstractNumId w:val="8"/>
  </w:num>
  <w:num w:numId="18">
    <w:abstractNumId w:val="26"/>
  </w:num>
  <w:num w:numId="19">
    <w:abstractNumId w:val="11"/>
  </w:num>
  <w:num w:numId="20">
    <w:abstractNumId w:val="4"/>
  </w:num>
  <w:num w:numId="21">
    <w:abstractNumId w:val="22"/>
  </w:num>
  <w:num w:numId="22">
    <w:abstractNumId w:val="24"/>
  </w:num>
  <w:num w:numId="23">
    <w:abstractNumId w:val="25"/>
  </w:num>
  <w:num w:numId="24">
    <w:abstractNumId w:val="27"/>
  </w:num>
  <w:num w:numId="25">
    <w:abstractNumId w:val="3"/>
  </w:num>
  <w:num w:numId="26">
    <w:abstractNumId w:val="1"/>
  </w:num>
  <w:num w:numId="27">
    <w:abstractNumId w:val="7"/>
  </w:num>
  <w:num w:numId="28">
    <w:abstractNumId w:val="20"/>
  </w:num>
  <w:num w:numId="29">
    <w:abstractNumId w:val="18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459EF"/>
    <w:rsid w:val="001000C8"/>
    <w:rsid w:val="00170D2F"/>
    <w:rsid w:val="001B6944"/>
    <w:rsid w:val="001E7AB1"/>
    <w:rsid w:val="00225D5D"/>
    <w:rsid w:val="002439EB"/>
    <w:rsid w:val="002F16E3"/>
    <w:rsid w:val="002F2496"/>
    <w:rsid w:val="00363046"/>
    <w:rsid w:val="00424ECF"/>
    <w:rsid w:val="0043699B"/>
    <w:rsid w:val="004434E0"/>
    <w:rsid w:val="004D4752"/>
    <w:rsid w:val="005566F7"/>
    <w:rsid w:val="005823DE"/>
    <w:rsid w:val="00590FC6"/>
    <w:rsid w:val="005A0894"/>
    <w:rsid w:val="005C23B9"/>
    <w:rsid w:val="006137AC"/>
    <w:rsid w:val="006550EC"/>
    <w:rsid w:val="00670103"/>
    <w:rsid w:val="006850CD"/>
    <w:rsid w:val="006B1E0D"/>
    <w:rsid w:val="00742B54"/>
    <w:rsid w:val="00777E3D"/>
    <w:rsid w:val="007831F3"/>
    <w:rsid w:val="00784B24"/>
    <w:rsid w:val="007F763B"/>
    <w:rsid w:val="0082477A"/>
    <w:rsid w:val="00894A77"/>
    <w:rsid w:val="008B6A61"/>
    <w:rsid w:val="00912C10"/>
    <w:rsid w:val="00916F25"/>
    <w:rsid w:val="00930368"/>
    <w:rsid w:val="00946053"/>
    <w:rsid w:val="00961A2C"/>
    <w:rsid w:val="00970256"/>
    <w:rsid w:val="00976B60"/>
    <w:rsid w:val="00984397"/>
    <w:rsid w:val="00997CAF"/>
    <w:rsid w:val="009B1FB9"/>
    <w:rsid w:val="00A129AC"/>
    <w:rsid w:val="00A4036A"/>
    <w:rsid w:val="00A4773D"/>
    <w:rsid w:val="00A5033B"/>
    <w:rsid w:val="00A64F3A"/>
    <w:rsid w:val="00A8651E"/>
    <w:rsid w:val="00A901AF"/>
    <w:rsid w:val="00B76455"/>
    <w:rsid w:val="00BA04A3"/>
    <w:rsid w:val="00BC56F0"/>
    <w:rsid w:val="00BE1BFF"/>
    <w:rsid w:val="00C07B9F"/>
    <w:rsid w:val="00C420CE"/>
    <w:rsid w:val="00CD053D"/>
    <w:rsid w:val="00CD45D3"/>
    <w:rsid w:val="00CE6909"/>
    <w:rsid w:val="00D15317"/>
    <w:rsid w:val="00D62903"/>
    <w:rsid w:val="00D94211"/>
    <w:rsid w:val="00DB0F2D"/>
    <w:rsid w:val="00DB4F6E"/>
    <w:rsid w:val="00DE536C"/>
    <w:rsid w:val="00E36A98"/>
    <w:rsid w:val="00E644C2"/>
    <w:rsid w:val="00E67008"/>
    <w:rsid w:val="00EB3960"/>
    <w:rsid w:val="00F00B60"/>
    <w:rsid w:val="00F14BAC"/>
    <w:rsid w:val="00F25631"/>
    <w:rsid w:val="00F9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656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45</cp:revision>
  <dcterms:created xsi:type="dcterms:W3CDTF">2020-10-25T17:51:00Z</dcterms:created>
  <dcterms:modified xsi:type="dcterms:W3CDTF">2020-12-15T19:19:00Z</dcterms:modified>
</cp:coreProperties>
</file>